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464F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64D79"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5C2">
        <w:rPr>
          <w:rFonts w:ascii="Arial" w:hAnsi="Arial" w:cs="Arial"/>
          <w:sz w:val="20"/>
          <w:szCs w:val="20"/>
        </w:rPr>
        <w:t>0</w:t>
      </w:r>
      <w:r w:rsidR="002464F8">
        <w:rPr>
          <w:rFonts w:ascii="Arial" w:hAnsi="Arial" w:cs="Arial"/>
          <w:sz w:val="20"/>
          <w:szCs w:val="20"/>
        </w:rPr>
        <w:t>6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464F8" w:rsidRPr="002464F8">
        <w:rPr>
          <w:rFonts w:ascii="Arial" w:hAnsi="Arial" w:cs="Arial"/>
          <w:sz w:val="20"/>
          <w:szCs w:val="20"/>
        </w:rPr>
        <w:t>Viettel</w:t>
      </w:r>
      <w:proofErr w:type="spellEnd"/>
      <w:r w:rsidR="002464F8" w:rsidRPr="002464F8">
        <w:rPr>
          <w:rFonts w:ascii="Arial" w:hAnsi="Arial" w:cs="Arial"/>
          <w:sz w:val="20"/>
          <w:szCs w:val="20"/>
        </w:rPr>
        <w:t xml:space="preserve"> Construction Joint Stock Company</w:t>
      </w:r>
      <w:r w:rsidR="002464F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464F8" w:rsidRDefault="002464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Report No.02/ BC – VCC – HDQT dated 26 May 2020 of the Board of Directors on </w:t>
      </w:r>
      <w:r w:rsidR="007F617B">
        <w:rPr>
          <w:rFonts w:ascii="Arial" w:hAnsi="Arial" w:cs="Arial"/>
          <w:sz w:val="20"/>
          <w:szCs w:val="20"/>
        </w:rPr>
        <w:t>operation results of 2019 and operation plan for 2020 and operation results of term of 2015 – 2020 and orientation for term of 2020 – 2025</w:t>
      </w:r>
    </w:p>
    <w:p w:rsidR="007F617B" w:rsidRDefault="007F61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Report No.03/ BC – VCC – HDQT dated 26 May 2020 of the General Director on operation results of 2019 and operation plan for 2020</w:t>
      </w:r>
    </w:p>
    <w:p w:rsidR="007F617B" w:rsidRDefault="007F61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main indicators</w:t>
      </w:r>
    </w:p>
    <w:p w:rsidR="007F617B" w:rsidRDefault="007F61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results of 2019</w:t>
      </w:r>
    </w:p>
    <w:p w:rsidR="007F617B" w:rsidRDefault="007F61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19"/>
        <w:gridCol w:w="1206"/>
        <w:gridCol w:w="1204"/>
        <w:gridCol w:w="1206"/>
        <w:gridCol w:w="1190"/>
        <w:gridCol w:w="1189"/>
        <w:gridCol w:w="1189"/>
      </w:tblGrid>
      <w:tr w:rsidR="00435807" w:rsidTr="00435807">
        <w:tc>
          <w:tcPr>
            <w:tcW w:w="473" w:type="dxa"/>
            <w:vMerge w:val="restart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  <w:vMerge w:val="restart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indicators</w:t>
            </w:r>
          </w:p>
        </w:tc>
        <w:tc>
          <w:tcPr>
            <w:tcW w:w="1206" w:type="dxa"/>
            <w:vMerge w:val="restart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2018</w:t>
            </w:r>
          </w:p>
        </w:tc>
        <w:tc>
          <w:tcPr>
            <w:tcW w:w="5974" w:type="dxa"/>
            <w:gridSpan w:val="5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435807" w:rsidTr="00435807">
        <w:tc>
          <w:tcPr>
            <w:tcW w:w="473" w:type="dxa"/>
            <w:vMerge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192" w:type="dxa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192" w:type="dxa"/>
          </w:tcPr>
          <w:p w:rsidR="00435807" w:rsidRDefault="004358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plan</w:t>
            </w:r>
          </w:p>
        </w:tc>
        <w:tc>
          <w:tcPr>
            <w:tcW w:w="1192" w:type="dxa"/>
          </w:tcPr>
          <w:p w:rsidR="00435807" w:rsidRDefault="00435807" w:rsidP="00F15D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="00F15DB6">
              <w:rPr>
                <w:rFonts w:ascii="Arial" w:hAnsi="Arial" w:cs="Arial"/>
                <w:sz w:val="20"/>
                <w:szCs w:val="20"/>
              </w:rPr>
              <w:t>vs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1192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vs 2018</w:t>
            </w:r>
          </w:p>
        </w:tc>
      </w:tr>
      <w:tr w:rsidR="00435807" w:rsidTr="00435807">
        <w:tc>
          <w:tcPr>
            <w:tcW w:w="47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206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4,313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5,094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102%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435807" w:rsidTr="00435807">
        <w:tc>
          <w:tcPr>
            <w:tcW w:w="47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435807" w:rsidTr="00435807">
        <w:tc>
          <w:tcPr>
            <w:tcW w:w="47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435807" w:rsidTr="00435807">
        <w:tc>
          <w:tcPr>
            <w:tcW w:w="47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2,321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2,430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2,449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101%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435807" w:rsidTr="00435807">
        <w:tc>
          <w:tcPr>
            <w:tcW w:w="47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435807" w:rsidRDefault="00F15DB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Owner's equity 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206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111%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92" w:type="dxa"/>
          </w:tcPr>
          <w:p w:rsidR="00435807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</w:tbl>
    <w:p w:rsidR="007F617B" w:rsidRDefault="007F617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1AC3" w:rsidRDefault="002D1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plan for 2020</w:t>
      </w:r>
    </w:p>
    <w:p w:rsidR="002D1AC3" w:rsidRDefault="002D1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Consolidated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1AC3" w:rsidTr="00BE7C1C">
        <w:tc>
          <w:tcPr>
            <w:tcW w:w="1915" w:type="dxa"/>
            <w:vMerge w:val="restart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7661" w:type="dxa"/>
            <w:gridSpan w:val="4"/>
          </w:tcPr>
          <w:p w:rsidR="002D1AC3" w:rsidRDefault="002D1AC3" w:rsidP="002D1A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</w:t>
            </w:r>
          </w:p>
        </w:tc>
      </w:tr>
      <w:tr w:rsidR="002D1AC3" w:rsidTr="002D1AC3">
        <w:tc>
          <w:tcPr>
            <w:tcW w:w="1915" w:type="dxa"/>
            <w:vMerge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+-vs 2019</w:t>
            </w:r>
          </w:p>
        </w:tc>
        <w:tc>
          <w:tcPr>
            <w:tcW w:w="1916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vs 2019</w:t>
            </w:r>
          </w:p>
        </w:tc>
      </w:tr>
      <w:tr w:rsidR="002D1AC3" w:rsidTr="002D1AC3"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Financial indicators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C3" w:rsidTr="002D1AC3"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(VND billion)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5,094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916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2D1AC3" w:rsidTr="002D1AC3"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 (VND billion)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4,865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5,762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916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2D1AC3" w:rsidTr="002D1AC3">
        <w:tc>
          <w:tcPr>
            <w:tcW w:w="1915" w:type="dxa"/>
          </w:tcPr>
          <w:p w:rsidR="002D1AC3" w:rsidRDefault="000B6CC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</w:t>
            </w:r>
            <w:r w:rsidR="00CD73F7">
              <w:rPr>
                <w:rFonts w:ascii="Arial" w:hAnsi="Arial" w:cs="Arial"/>
                <w:sz w:val="20"/>
                <w:szCs w:val="20"/>
              </w:rPr>
              <w:t xml:space="preserve"> tax (VND billion)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2D1AC3" w:rsidTr="002D1AC3"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Profit after tax (VND billion)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D1AC3" w:rsidTr="002D1AC3"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Coefficient indicator</w:t>
            </w: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D1AC3" w:rsidRDefault="002D1AC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C3" w:rsidTr="002D1AC3"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7.6%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7.4%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16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-2%</w:t>
            </w:r>
          </w:p>
        </w:tc>
      </w:tr>
      <w:tr w:rsidR="002D1AC3" w:rsidTr="002D1AC3"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21.8%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21.2%</w:t>
            </w:r>
          </w:p>
        </w:tc>
        <w:tc>
          <w:tcPr>
            <w:tcW w:w="1915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-1%</w:t>
            </w:r>
          </w:p>
        </w:tc>
        <w:tc>
          <w:tcPr>
            <w:tcW w:w="1916" w:type="dxa"/>
          </w:tcPr>
          <w:p w:rsidR="002D1AC3" w:rsidRDefault="00CD73F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-3%</w:t>
            </w:r>
          </w:p>
        </w:tc>
      </w:tr>
    </w:tbl>
    <w:p w:rsidR="002D1AC3" w:rsidRDefault="002D1A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73F7" w:rsidRDefault="00CD73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Indicators of the holding company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620"/>
        <w:gridCol w:w="1530"/>
        <w:gridCol w:w="1620"/>
        <w:gridCol w:w="1458"/>
      </w:tblGrid>
      <w:tr w:rsidR="00903307" w:rsidTr="00903307">
        <w:tc>
          <w:tcPr>
            <w:tcW w:w="3348" w:type="dxa"/>
            <w:vMerge w:val="restart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6228" w:type="dxa"/>
            <w:gridSpan w:val="4"/>
          </w:tcPr>
          <w:p w:rsidR="00903307" w:rsidRDefault="00903307" w:rsidP="0090330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company</w:t>
            </w:r>
          </w:p>
        </w:tc>
      </w:tr>
      <w:tr w:rsidR="00903307" w:rsidTr="00903307">
        <w:tc>
          <w:tcPr>
            <w:tcW w:w="3348" w:type="dxa"/>
            <w:vMerge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53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62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+- vs 2019</w:t>
            </w:r>
          </w:p>
        </w:tc>
        <w:tc>
          <w:tcPr>
            <w:tcW w:w="1458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vs 2019</w:t>
            </w:r>
          </w:p>
        </w:tc>
      </w:tr>
      <w:tr w:rsidR="00903307" w:rsidTr="00903307">
        <w:tc>
          <w:tcPr>
            <w:tcW w:w="3348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Financial indicator (VND billion)</w:t>
            </w:r>
          </w:p>
        </w:tc>
        <w:tc>
          <w:tcPr>
            <w:tcW w:w="162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07" w:rsidTr="00903307">
        <w:tc>
          <w:tcPr>
            <w:tcW w:w="3348" w:type="dxa"/>
          </w:tcPr>
          <w:p w:rsidR="00903307" w:rsidRDefault="00806949" w:rsidP="00806949">
            <w:pPr>
              <w:tabs>
                <w:tab w:val="left" w:pos="111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(VND billion)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4,845</w:t>
            </w:r>
          </w:p>
        </w:tc>
        <w:tc>
          <w:tcPr>
            <w:tcW w:w="153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5,154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5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903307" w:rsidTr="00903307">
        <w:tc>
          <w:tcPr>
            <w:tcW w:w="334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 (VND billion)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4,612</w:t>
            </w:r>
          </w:p>
        </w:tc>
        <w:tc>
          <w:tcPr>
            <w:tcW w:w="153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4,915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45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903307" w:rsidTr="00903307">
        <w:tc>
          <w:tcPr>
            <w:tcW w:w="334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(VND billion)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53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903307" w:rsidTr="00903307">
        <w:tc>
          <w:tcPr>
            <w:tcW w:w="334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(VND billion)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3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903307" w:rsidTr="00903307">
        <w:tc>
          <w:tcPr>
            <w:tcW w:w="334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Coefficient indicator (%)</w:t>
            </w:r>
          </w:p>
        </w:tc>
        <w:tc>
          <w:tcPr>
            <w:tcW w:w="162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03307" w:rsidRDefault="009033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307" w:rsidTr="00903307">
        <w:tc>
          <w:tcPr>
            <w:tcW w:w="334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53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-1%</w:t>
            </w:r>
          </w:p>
        </w:tc>
        <w:tc>
          <w:tcPr>
            <w:tcW w:w="145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-12%</w:t>
            </w:r>
          </w:p>
        </w:tc>
      </w:tr>
      <w:tr w:rsidR="00903307" w:rsidTr="00903307">
        <w:tc>
          <w:tcPr>
            <w:tcW w:w="334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53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620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-3%</w:t>
            </w:r>
          </w:p>
        </w:tc>
        <w:tc>
          <w:tcPr>
            <w:tcW w:w="1458" w:type="dxa"/>
          </w:tcPr>
          <w:p w:rsidR="00903307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-11%</w:t>
            </w:r>
          </w:p>
        </w:tc>
      </w:tr>
      <w:tr w:rsidR="00806949" w:rsidTr="00903307">
        <w:tc>
          <w:tcPr>
            <w:tcW w:w="3348" w:type="dxa"/>
          </w:tcPr>
          <w:p w:rsidR="00806949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rate</w:t>
            </w:r>
          </w:p>
        </w:tc>
        <w:tc>
          <w:tcPr>
            <w:tcW w:w="1620" w:type="dxa"/>
          </w:tcPr>
          <w:p w:rsidR="00806949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530" w:type="dxa"/>
          </w:tcPr>
          <w:p w:rsidR="00806949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- 20%</w:t>
            </w:r>
          </w:p>
        </w:tc>
        <w:tc>
          <w:tcPr>
            <w:tcW w:w="1620" w:type="dxa"/>
          </w:tcPr>
          <w:p w:rsidR="00806949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806949" w:rsidRDefault="008069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3F7" w:rsidRDefault="00CD73F7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23FB" w:rsidRDefault="009523FB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Report No. 06/ BC – VCC – BKS dated 26 May 2020 of the Supervisory Board at the annual General Meeting of Shareholders of 2020 and term of 2020 – 2025</w:t>
      </w:r>
    </w:p>
    <w:p w:rsidR="009523FB" w:rsidRDefault="009523FB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 the audited financial statement of 2019</w:t>
      </w:r>
    </w:p>
    <w:p w:rsidR="009523FB" w:rsidRDefault="009523FB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the plan on profit distribution for 2019 and extraction to funds of 2019 as follows:</w:t>
      </w:r>
    </w:p>
    <w:p w:rsidR="009523FB" w:rsidRDefault="009523FB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Plan on profit distribution and extraction to funds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403"/>
        <w:gridCol w:w="1895"/>
        <w:gridCol w:w="1892"/>
        <w:gridCol w:w="1890"/>
      </w:tblGrid>
      <w:tr w:rsidR="0095560E" w:rsidTr="000B3532">
        <w:tc>
          <w:tcPr>
            <w:tcW w:w="496" w:type="dxa"/>
            <w:vMerge w:val="restart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3" w:type="dxa"/>
            <w:vMerge w:val="restart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95" w:type="dxa"/>
            <w:vMerge w:val="restart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3782" w:type="dxa"/>
            <w:gridSpan w:val="2"/>
          </w:tcPr>
          <w:p w:rsidR="0095560E" w:rsidRDefault="0095560E" w:rsidP="009556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</w:tr>
      <w:tr w:rsidR="0095560E" w:rsidTr="000B3532">
        <w:tc>
          <w:tcPr>
            <w:tcW w:w="496" w:type="dxa"/>
            <w:vMerge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%/ charter capital </w:t>
            </w: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%/ profit after tax </w:t>
            </w:r>
          </w:p>
        </w:tc>
      </w:tr>
      <w:tr w:rsidR="0095560E" w:rsidTr="000B3532">
        <w:tc>
          <w:tcPr>
            <w:tcW w:w="496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 on 31 Dec 2019</w:t>
            </w:r>
          </w:p>
        </w:tc>
        <w:tc>
          <w:tcPr>
            <w:tcW w:w="1895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606,975,090,000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used for distribution</w:t>
            </w:r>
          </w:p>
        </w:tc>
        <w:tc>
          <w:tcPr>
            <w:tcW w:w="1895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188,594,835,464</w:t>
            </w:r>
          </w:p>
        </w:tc>
        <w:tc>
          <w:tcPr>
            <w:tcW w:w="1892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31.1%</w:t>
            </w: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</w:tc>
        <w:tc>
          <w:tcPr>
            <w:tcW w:w="1895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3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after tax implemented in the period</w:t>
            </w:r>
          </w:p>
        </w:tc>
        <w:tc>
          <w:tcPr>
            <w:tcW w:w="1895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188,523,919,517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3403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after tax of the previous period</w:t>
            </w:r>
          </w:p>
        </w:tc>
        <w:tc>
          <w:tcPr>
            <w:tcW w:w="1895" w:type="dxa"/>
          </w:tcPr>
          <w:p w:rsidR="0095560E" w:rsidRDefault="004E13E6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D50B42">
              <w:rPr>
                <w:rFonts w:ascii="Arial" w:hAnsi="Arial" w:cs="Arial"/>
                <w:sz w:val="20"/>
                <w:szCs w:val="20"/>
              </w:rPr>
              <w:t>,915,947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3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Development Fund at the holding company </w:t>
            </w:r>
          </w:p>
        </w:tc>
        <w:tc>
          <w:tcPr>
            <w:tcW w:w="1895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Recommendation for profit distribution </w:t>
            </w:r>
          </w:p>
        </w:tc>
        <w:tc>
          <w:tcPr>
            <w:tcW w:w="1895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403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Reward Fund </w:t>
            </w:r>
          </w:p>
        </w:tc>
        <w:tc>
          <w:tcPr>
            <w:tcW w:w="1895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28,278,587,928</w:t>
            </w:r>
          </w:p>
        </w:tc>
        <w:tc>
          <w:tcPr>
            <w:tcW w:w="1892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4.7%</w:t>
            </w:r>
          </w:p>
        </w:tc>
        <w:tc>
          <w:tcPr>
            <w:tcW w:w="1890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15.0%</w:t>
            </w:r>
          </w:p>
        </w:tc>
      </w:tr>
      <w:tr w:rsidR="0095560E" w:rsidTr="000B3532">
        <w:tc>
          <w:tcPr>
            <w:tcW w:w="496" w:type="dxa"/>
          </w:tcPr>
          <w:p w:rsidR="0095560E" w:rsidRDefault="00D50B4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403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fund to managers</w:t>
            </w:r>
          </w:p>
        </w:tc>
        <w:tc>
          <w:tcPr>
            <w:tcW w:w="1895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2,200,000,000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1.2%</w:t>
            </w:r>
          </w:p>
        </w:tc>
      </w:tr>
      <w:tr w:rsidR="0095560E" w:rsidTr="000B3532">
        <w:tc>
          <w:tcPr>
            <w:tcW w:w="496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403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rate</w:t>
            </w:r>
          </w:p>
        </w:tc>
        <w:tc>
          <w:tcPr>
            <w:tcW w:w="1895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158,116,247,536</w:t>
            </w:r>
          </w:p>
        </w:tc>
        <w:tc>
          <w:tcPr>
            <w:tcW w:w="1892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26.05%</w:t>
            </w: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03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Cash dividend payment </w:t>
            </w:r>
          </w:p>
        </w:tc>
        <w:tc>
          <w:tcPr>
            <w:tcW w:w="1895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60,697,509,000</w:t>
            </w:r>
          </w:p>
        </w:tc>
        <w:tc>
          <w:tcPr>
            <w:tcW w:w="1892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03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by share</w:t>
            </w:r>
          </w:p>
        </w:tc>
        <w:tc>
          <w:tcPr>
            <w:tcW w:w="1895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97,418,738,536</w:t>
            </w:r>
          </w:p>
        </w:tc>
        <w:tc>
          <w:tcPr>
            <w:tcW w:w="1892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16.05%</w:t>
            </w: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</w:t>
            </w:r>
          </w:p>
        </w:tc>
        <w:tc>
          <w:tcPr>
            <w:tcW w:w="1895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0E" w:rsidTr="000B3532">
        <w:tc>
          <w:tcPr>
            <w:tcW w:w="496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 capital after capital increase</w:t>
            </w:r>
          </w:p>
        </w:tc>
        <w:tc>
          <w:tcPr>
            <w:tcW w:w="1895" w:type="dxa"/>
          </w:tcPr>
          <w:p w:rsidR="0095560E" w:rsidRDefault="000B3532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704,393,828,536</w:t>
            </w:r>
          </w:p>
        </w:tc>
        <w:tc>
          <w:tcPr>
            <w:tcW w:w="1892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60E" w:rsidRDefault="0095560E" w:rsidP="008069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3FB" w:rsidRDefault="009523FB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304F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>II. Increasing</w:t>
      </w:r>
      <w:r>
        <w:rPr>
          <w:rFonts w:ascii="Arial" w:hAnsi="Arial" w:cs="Arial"/>
          <w:sz w:val="20"/>
          <w:szCs w:val="20"/>
        </w:rPr>
        <w:t xml:space="preserve"> the</w:t>
      </w:r>
      <w:r w:rsidRPr="00543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charter capital with the plan on issuing</w:t>
      </w:r>
      <w:r w:rsidRPr="0054304F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 xml:space="preserve">for dividend payment </w:t>
      </w:r>
    </w:p>
    <w:p w:rsidR="0054304F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1. Issue plan </w:t>
      </w:r>
    </w:p>
    <w:p w:rsidR="008912E6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4304F">
        <w:rPr>
          <w:rFonts w:ascii="Arial" w:hAnsi="Arial" w:cs="Arial"/>
          <w:sz w:val="20"/>
          <w:szCs w:val="20"/>
        </w:rPr>
        <w:t>Viettel</w:t>
      </w:r>
      <w:proofErr w:type="spellEnd"/>
      <w:r w:rsidRPr="0054304F">
        <w:rPr>
          <w:rFonts w:ascii="Arial" w:hAnsi="Arial" w:cs="Arial"/>
          <w:sz w:val="20"/>
          <w:szCs w:val="20"/>
        </w:rPr>
        <w:t xml:space="preserve"> Construction Joint Stock Company issues shares </w:t>
      </w:r>
      <w:r w:rsidR="008912E6">
        <w:rPr>
          <w:rFonts w:ascii="Arial" w:hAnsi="Arial" w:cs="Arial"/>
          <w:sz w:val="20"/>
          <w:szCs w:val="20"/>
        </w:rPr>
        <w:t>for dividend payment</w:t>
      </w:r>
      <w:r w:rsidRPr="0054304F">
        <w:rPr>
          <w:rFonts w:ascii="Arial" w:hAnsi="Arial" w:cs="Arial"/>
          <w:sz w:val="20"/>
          <w:szCs w:val="20"/>
        </w:rPr>
        <w:t xml:space="preserve"> to shareholders to increase </w:t>
      </w:r>
      <w:r w:rsidR="008912E6">
        <w:rPr>
          <w:rFonts w:ascii="Arial" w:hAnsi="Arial" w:cs="Arial"/>
          <w:sz w:val="20"/>
          <w:szCs w:val="20"/>
        </w:rPr>
        <w:t>the charter capital</w:t>
      </w:r>
      <w:r w:rsidRPr="0054304F">
        <w:rPr>
          <w:rFonts w:ascii="Arial" w:hAnsi="Arial" w:cs="Arial"/>
          <w:sz w:val="20"/>
          <w:szCs w:val="20"/>
        </w:rPr>
        <w:t xml:space="preserve"> of the </w:t>
      </w:r>
      <w:r w:rsidR="008912E6">
        <w:rPr>
          <w:rFonts w:ascii="Arial" w:hAnsi="Arial" w:cs="Arial"/>
          <w:sz w:val="20"/>
          <w:szCs w:val="20"/>
        </w:rPr>
        <w:t>Company</w:t>
      </w:r>
      <w:r w:rsidRPr="0054304F">
        <w:rPr>
          <w:rFonts w:ascii="Arial" w:hAnsi="Arial" w:cs="Arial"/>
          <w:sz w:val="20"/>
          <w:szCs w:val="20"/>
        </w:rPr>
        <w:t xml:space="preserve"> with the following plan: </w:t>
      </w:r>
    </w:p>
    <w:p w:rsidR="008912E6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- </w:t>
      </w:r>
      <w:r w:rsidR="008912E6">
        <w:rPr>
          <w:rFonts w:ascii="Arial" w:hAnsi="Arial" w:cs="Arial"/>
          <w:sz w:val="20"/>
          <w:szCs w:val="20"/>
        </w:rPr>
        <w:t xml:space="preserve">Type of share: Common share </w:t>
      </w:r>
      <w:r w:rsidRPr="0054304F">
        <w:rPr>
          <w:rFonts w:ascii="Arial" w:hAnsi="Arial" w:cs="Arial"/>
          <w:sz w:val="20"/>
          <w:szCs w:val="20"/>
        </w:rPr>
        <w:t xml:space="preserve"> </w:t>
      </w:r>
    </w:p>
    <w:p w:rsidR="008912E6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- </w:t>
      </w:r>
      <w:r w:rsidR="008912E6">
        <w:rPr>
          <w:rFonts w:ascii="Arial" w:hAnsi="Arial" w:cs="Arial"/>
          <w:sz w:val="20"/>
          <w:szCs w:val="20"/>
        </w:rPr>
        <w:t xml:space="preserve">Par value: VND 10,000/ share </w:t>
      </w:r>
    </w:p>
    <w:p w:rsidR="00226493" w:rsidRDefault="008912E6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4304F" w:rsidRPr="0054304F">
        <w:rPr>
          <w:rFonts w:ascii="Arial" w:hAnsi="Arial" w:cs="Arial"/>
          <w:sz w:val="20"/>
          <w:szCs w:val="20"/>
        </w:rPr>
        <w:t xml:space="preserve"> Number of shares expected to </w:t>
      </w:r>
      <w:r w:rsidR="00226493">
        <w:rPr>
          <w:rFonts w:ascii="Arial" w:hAnsi="Arial" w:cs="Arial"/>
          <w:sz w:val="20"/>
          <w:szCs w:val="20"/>
        </w:rPr>
        <w:t>be issued for dividend payment: 9,741,873 shares (e</w:t>
      </w:r>
      <w:r w:rsidR="0054304F" w:rsidRPr="0054304F">
        <w:rPr>
          <w:rFonts w:ascii="Arial" w:hAnsi="Arial" w:cs="Arial"/>
          <w:sz w:val="20"/>
          <w:szCs w:val="20"/>
        </w:rPr>
        <w:t xml:space="preserve">quivalent to 16% of the total number of existing shares) </w:t>
      </w:r>
    </w:p>
    <w:p w:rsidR="00226493" w:rsidRDefault="0022649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4304F" w:rsidRPr="0054304F">
        <w:rPr>
          <w:rFonts w:ascii="Arial" w:hAnsi="Arial" w:cs="Arial"/>
          <w:sz w:val="20"/>
          <w:szCs w:val="20"/>
        </w:rPr>
        <w:t xml:space="preserve">Total number of existing shares: 60,697,509 </w:t>
      </w:r>
      <w:r>
        <w:rPr>
          <w:rFonts w:ascii="Arial" w:hAnsi="Arial" w:cs="Arial"/>
          <w:sz w:val="20"/>
          <w:szCs w:val="20"/>
        </w:rPr>
        <w:t>shares</w:t>
      </w:r>
    </w:p>
    <w:p w:rsidR="00893177" w:rsidRDefault="0022649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4304F" w:rsidRPr="0054304F">
        <w:rPr>
          <w:rFonts w:ascii="Arial" w:hAnsi="Arial" w:cs="Arial"/>
          <w:sz w:val="20"/>
          <w:szCs w:val="20"/>
        </w:rPr>
        <w:t>Execution r</w:t>
      </w:r>
      <w:r>
        <w:rPr>
          <w:rFonts w:ascii="Arial" w:hAnsi="Arial" w:cs="Arial"/>
          <w:sz w:val="20"/>
          <w:szCs w:val="20"/>
        </w:rPr>
        <w:t>ate: 100:</w:t>
      </w:r>
      <w:r w:rsidR="0054304F" w:rsidRPr="0054304F">
        <w:rPr>
          <w:rFonts w:ascii="Arial" w:hAnsi="Arial" w:cs="Arial"/>
          <w:sz w:val="20"/>
          <w:szCs w:val="20"/>
        </w:rPr>
        <w:t xml:space="preserve">16 (each shareholder who owns 100 shares </w:t>
      </w:r>
      <w:r>
        <w:rPr>
          <w:rFonts w:ascii="Arial" w:hAnsi="Arial" w:cs="Arial"/>
          <w:sz w:val="20"/>
          <w:szCs w:val="20"/>
        </w:rPr>
        <w:t>on record date</w:t>
      </w:r>
      <w:r w:rsidR="0054304F" w:rsidRPr="0054304F">
        <w:rPr>
          <w:rFonts w:ascii="Arial" w:hAnsi="Arial" w:cs="Arial"/>
          <w:sz w:val="20"/>
          <w:szCs w:val="20"/>
        </w:rPr>
        <w:t xml:space="preserve"> of the list of</w:t>
      </w:r>
      <w:r w:rsidR="00893177">
        <w:rPr>
          <w:rFonts w:ascii="Arial" w:hAnsi="Arial" w:cs="Arial"/>
          <w:sz w:val="20"/>
          <w:szCs w:val="20"/>
        </w:rPr>
        <w:t xml:space="preserve"> shareholders will be rewarded </w:t>
      </w:r>
      <w:r w:rsidR="0054304F" w:rsidRPr="0054304F">
        <w:rPr>
          <w:rFonts w:ascii="Arial" w:hAnsi="Arial" w:cs="Arial"/>
          <w:sz w:val="20"/>
          <w:szCs w:val="20"/>
        </w:rPr>
        <w:t xml:space="preserve">16 new shares) </w:t>
      </w:r>
    </w:p>
    <w:p w:rsidR="00893177" w:rsidRDefault="00893177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Resources for the issue</w:t>
      </w:r>
      <w:r w:rsidR="0054304F" w:rsidRPr="0054304F">
        <w:rPr>
          <w:rFonts w:ascii="Arial" w:hAnsi="Arial" w:cs="Arial"/>
          <w:sz w:val="20"/>
          <w:szCs w:val="20"/>
        </w:rPr>
        <w:t xml:space="preserve">: Undistributed after-tax profit of the </w:t>
      </w:r>
      <w:r>
        <w:rPr>
          <w:rFonts w:ascii="Arial" w:hAnsi="Arial" w:cs="Arial"/>
          <w:sz w:val="20"/>
          <w:szCs w:val="20"/>
        </w:rPr>
        <w:t xml:space="preserve">holding company </w:t>
      </w:r>
    </w:p>
    <w:p w:rsidR="0020555E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- </w:t>
      </w:r>
      <w:r w:rsidR="00893177">
        <w:rPr>
          <w:rFonts w:ascii="Arial" w:hAnsi="Arial" w:cs="Arial"/>
          <w:sz w:val="20"/>
          <w:szCs w:val="20"/>
        </w:rPr>
        <w:t>Eligible buyers</w:t>
      </w:r>
      <w:r w:rsidRPr="0054304F">
        <w:rPr>
          <w:rFonts w:ascii="Arial" w:hAnsi="Arial" w:cs="Arial"/>
          <w:sz w:val="20"/>
          <w:szCs w:val="20"/>
        </w:rPr>
        <w:t xml:space="preserve">: Existing shareholders in the list of shareholders </w:t>
      </w:r>
      <w:r w:rsidR="0020555E">
        <w:rPr>
          <w:rFonts w:ascii="Arial" w:hAnsi="Arial" w:cs="Arial"/>
          <w:sz w:val="20"/>
          <w:szCs w:val="20"/>
        </w:rPr>
        <w:t>on record date of</w:t>
      </w:r>
      <w:r w:rsidRPr="0054304F">
        <w:rPr>
          <w:rFonts w:ascii="Arial" w:hAnsi="Arial" w:cs="Arial"/>
          <w:sz w:val="20"/>
          <w:szCs w:val="20"/>
        </w:rPr>
        <w:t xml:space="preserve"> the list of shareholders </w:t>
      </w:r>
    </w:p>
    <w:p w:rsidR="00452DE9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- </w:t>
      </w:r>
      <w:r w:rsidR="0020555E">
        <w:rPr>
          <w:rFonts w:ascii="Arial" w:hAnsi="Arial" w:cs="Arial"/>
          <w:sz w:val="20"/>
          <w:szCs w:val="20"/>
        </w:rPr>
        <w:t>Record date of</w:t>
      </w:r>
      <w:r w:rsidRPr="0054304F">
        <w:rPr>
          <w:rFonts w:ascii="Arial" w:hAnsi="Arial" w:cs="Arial"/>
          <w:sz w:val="20"/>
          <w:szCs w:val="20"/>
        </w:rPr>
        <w:t xml:space="preserve"> the list of shareholders: The </w:t>
      </w:r>
      <w:r w:rsidR="0020555E">
        <w:rPr>
          <w:rFonts w:ascii="Arial" w:hAnsi="Arial" w:cs="Arial"/>
          <w:sz w:val="20"/>
          <w:szCs w:val="20"/>
        </w:rPr>
        <w:t>annual General Meeting of Shareholders</w:t>
      </w:r>
      <w:r w:rsidRPr="0054304F">
        <w:rPr>
          <w:rFonts w:ascii="Arial" w:hAnsi="Arial" w:cs="Arial"/>
          <w:sz w:val="20"/>
          <w:szCs w:val="20"/>
        </w:rPr>
        <w:t xml:space="preserve"> authorizes the Board of Directors to select an appropriate time, based on the</w:t>
      </w:r>
      <w:r w:rsidR="0020555E">
        <w:rPr>
          <w:rFonts w:ascii="Arial" w:hAnsi="Arial" w:cs="Arial"/>
          <w:sz w:val="20"/>
          <w:szCs w:val="20"/>
        </w:rPr>
        <w:t xml:space="preserve"> market situation and operation</w:t>
      </w:r>
      <w:r w:rsidR="00452DE9">
        <w:rPr>
          <w:rFonts w:ascii="Arial" w:hAnsi="Arial" w:cs="Arial"/>
          <w:sz w:val="20"/>
          <w:szCs w:val="20"/>
        </w:rPr>
        <w:t xml:space="preserve"> of the Corporation in accordance with the law</w:t>
      </w:r>
    </w:p>
    <w:p w:rsidR="00452DE9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lastRenderedPageBreak/>
        <w:t xml:space="preserve">- </w:t>
      </w:r>
      <w:r w:rsidR="00452DE9">
        <w:rPr>
          <w:rFonts w:ascii="Arial" w:hAnsi="Arial" w:cs="Arial"/>
          <w:sz w:val="20"/>
          <w:szCs w:val="20"/>
        </w:rPr>
        <w:t>Execution method</w:t>
      </w:r>
      <w:r w:rsidRPr="0054304F">
        <w:rPr>
          <w:rFonts w:ascii="Arial" w:hAnsi="Arial" w:cs="Arial"/>
          <w:sz w:val="20"/>
          <w:szCs w:val="20"/>
        </w:rPr>
        <w:t xml:space="preserve">: Shareholders named in the list on the </w:t>
      </w:r>
      <w:r w:rsidR="00452DE9">
        <w:rPr>
          <w:rFonts w:ascii="Arial" w:hAnsi="Arial" w:cs="Arial"/>
          <w:sz w:val="20"/>
          <w:szCs w:val="20"/>
        </w:rPr>
        <w:t>record date of</w:t>
      </w:r>
      <w:r w:rsidRPr="0054304F">
        <w:rPr>
          <w:rFonts w:ascii="Arial" w:hAnsi="Arial" w:cs="Arial"/>
          <w:sz w:val="20"/>
          <w:szCs w:val="20"/>
        </w:rPr>
        <w:t xml:space="preserve"> the shareholder list will receive the number of new shares correspon</w:t>
      </w:r>
      <w:r w:rsidR="00452DE9">
        <w:rPr>
          <w:rFonts w:ascii="Arial" w:hAnsi="Arial" w:cs="Arial"/>
          <w:sz w:val="20"/>
          <w:szCs w:val="20"/>
        </w:rPr>
        <w:t>ding to the implementation rate</w:t>
      </w:r>
    </w:p>
    <w:p w:rsidR="00286879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- Plan for dealing with </w:t>
      </w:r>
      <w:r w:rsidR="00452DE9">
        <w:rPr>
          <w:rFonts w:ascii="Arial" w:hAnsi="Arial" w:cs="Arial"/>
          <w:sz w:val="20"/>
          <w:szCs w:val="20"/>
        </w:rPr>
        <w:t xml:space="preserve">fractional </w:t>
      </w:r>
      <w:r w:rsidRPr="0054304F">
        <w:rPr>
          <w:rFonts w:ascii="Arial" w:hAnsi="Arial" w:cs="Arial"/>
          <w:sz w:val="20"/>
          <w:szCs w:val="20"/>
        </w:rPr>
        <w:t xml:space="preserve">shares: The number of issued shares will be rounded up to the unit, the </w:t>
      </w:r>
      <w:r w:rsidR="00286879">
        <w:rPr>
          <w:rFonts w:ascii="Arial" w:hAnsi="Arial" w:cs="Arial"/>
          <w:sz w:val="20"/>
          <w:szCs w:val="20"/>
        </w:rPr>
        <w:t>decimal</w:t>
      </w:r>
      <w:r w:rsidRPr="0054304F">
        <w:rPr>
          <w:rFonts w:ascii="Arial" w:hAnsi="Arial" w:cs="Arial"/>
          <w:sz w:val="20"/>
          <w:szCs w:val="20"/>
        </w:rPr>
        <w:t xml:space="preserve"> (if any) will be canceled and additionally recorded in the undi</w:t>
      </w:r>
      <w:r w:rsidR="00286879">
        <w:rPr>
          <w:rFonts w:ascii="Arial" w:hAnsi="Arial" w:cs="Arial"/>
          <w:sz w:val="20"/>
          <w:szCs w:val="20"/>
        </w:rPr>
        <w:t>stributed profit</w:t>
      </w:r>
    </w:p>
    <w:p w:rsidR="0054304F" w:rsidRDefault="005430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04F">
        <w:rPr>
          <w:rFonts w:ascii="Arial" w:hAnsi="Arial" w:cs="Arial"/>
          <w:sz w:val="20"/>
          <w:szCs w:val="20"/>
        </w:rPr>
        <w:t xml:space="preserve">- Expected issuance time: In 2020 (after </w:t>
      </w:r>
      <w:r w:rsidR="00286879">
        <w:rPr>
          <w:rFonts w:ascii="Arial" w:hAnsi="Arial" w:cs="Arial"/>
          <w:sz w:val="20"/>
          <w:szCs w:val="20"/>
        </w:rPr>
        <w:t>approval of</w:t>
      </w:r>
      <w:r w:rsidRPr="0054304F">
        <w:rPr>
          <w:rFonts w:ascii="Arial" w:hAnsi="Arial" w:cs="Arial"/>
          <w:sz w:val="20"/>
          <w:szCs w:val="20"/>
        </w:rPr>
        <w:t xml:space="preserve"> t</w:t>
      </w:r>
      <w:r w:rsidR="00286879">
        <w:rPr>
          <w:rFonts w:ascii="Arial" w:hAnsi="Arial" w:cs="Arial"/>
          <w:sz w:val="20"/>
          <w:szCs w:val="20"/>
        </w:rPr>
        <w:t>he State Securities Commission)</w:t>
      </w:r>
    </w:p>
    <w:p w:rsidR="007E655C" w:rsidRDefault="00286879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879">
        <w:rPr>
          <w:rFonts w:ascii="Arial" w:hAnsi="Arial" w:cs="Arial"/>
          <w:sz w:val="20"/>
          <w:szCs w:val="20"/>
        </w:rPr>
        <w:t xml:space="preserve">Article 6.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286879">
        <w:rPr>
          <w:rFonts w:ascii="Arial" w:hAnsi="Arial" w:cs="Arial"/>
          <w:sz w:val="20"/>
          <w:szCs w:val="20"/>
        </w:rPr>
        <w:t xml:space="preserve"> authorizes the Board of Directors to select an </w:t>
      </w:r>
      <w:r w:rsidR="002E30E1">
        <w:rPr>
          <w:rFonts w:ascii="Arial" w:hAnsi="Arial" w:cs="Arial"/>
          <w:sz w:val="20"/>
          <w:szCs w:val="20"/>
        </w:rPr>
        <w:t>auditing c</w:t>
      </w:r>
      <w:r w:rsidRPr="00286879">
        <w:rPr>
          <w:rFonts w:ascii="Arial" w:hAnsi="Arial" w:cs="Arial"/>
          <w:sz w:val="20"/>
          <w:szCs w:val="20"/>
        </w:rPr>
        <w:t xml:space="preserve">ompany from the list of following companies upon the proposal of the Supervisory Board and assign </w:t>
      </w:r>
      <w:r w:rsidR="002E30E1">
        <w:rPr>
          <w:rFonts w:ascii="Arial" w:hAnsi="Arial" w:cs="Arial"/>
          <w:sz w:val="20"/>
          <w:szCs w:val="20"/>
        </w:rPr>
        <w:t xml:space="preserve">the General Director to sign an audit service contract with the </w:t>
      </w:r>
      <w:r w:rsidR="002E30E1" w:rsidRPr="00286879">
        <w:rPr>
          <w:rFonts w:ascii="Arial" w:hAnsi="Arial" w:cs="Arial"/>
          <w:sz w:val="20"/>
          <w:szCs w:val="20"/>
        </w:rPr>
        <w:t>selected</w:t>
      </w:r>
      <w:r w:rsidR="002E30E1">
        <w:rPr>
          <w:rFonts w:ascii="Arial" w:hAnsi="Arial" w:cs="Arial"/>
          <w:sz w:val="20"/>
          <w:szCs w:val="20"/>
        </w:rPr>
        <w:t xml:space="preserve"> auditing c</w:t>
      </w:r>
      <w:r w:rsidRPr="00286879">
        <w:rPr>
          <w:rFonts w:ascii="Arial" w:hAnsi="Arial" w:cs="Arial"/>
          <w:sz w:val="20"/>
          <w:szCs w:val="20"/>
        </w:rPr>
        <w:t xml:space="preserve">ompany to audit or review the </w:t>
      </w:r>
      <w:r w:rsidR="002E30E1">
        <w:rPr>
          <w:rFonts w:ascii="Arial" w:hAnsi="Arial" w:cs="Arial"/>
          <w:sz w:val="20"/>
          <w:szCs w:val="20"/>
        </w:rPr>
        <w:t>semi-annual financial statement</w:t>
      </w:r>
      <w:r w:rsidRPr="00286879">
        <w:rPr>
          <w:rFonts w:ascii="Arial" w:hAnsi="Arial" w:cs="Arial"/>
          <w:sz w:val="20"/>
          <w:szCs w:val="20"/>
        </w:rPr>
        <w:t xml:space="preserve"> (6 months) and the 2020 </w:t>
      </w:r>
      <w:r w:rsidR="002E30E1">
        <w:rPr>
          <w:rFonts w:ascii="Arial" w:hAnsi="Arial" w:cs="Arial"/>
          <w:sz w:val="20"/>
          <w:szCs w:val="20"/>
        </w:rPr>
        <w:t>financial statement</w:t>
      </w:r>
      <w:r w:rsidRPr="00286879">
        <w:rPr>
          <w:rFonts w:ascii="Arial" w:hAnsi="Arial" w:cs="Arial"/>
          <w:sz w:val="20"/>
          <w:szCs w:val="20"/>
        </w:rPr>
        <w:t xml:space="preserve"> of the Corporation in accordance with the law. List of companies include: </w:t>
      </w:r>
    </w:p>
    <w:p w:rsidR="007E655C" w:rsidRDefault="007E655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Deloitte Vietnam Co., Ltd</w:t>
      </w:r>
    </w:p>
    <w:p w:rsidR="007E655C" w:rsidRDefault="007E655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86879" w:rsidRPr="002868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Ernst &amp; Young Vietnam Co., Ltd</w:t>
      </w:r>
    </w:p>
    <w:p w:rsidR="007E655C" w:rsidRDefault="007E655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AASC Auditing Firm Co., Ltd</w:t>
      </w:r>
    </w:p>
    <w:p w:rsidR="007E655C" w:rsidRDefault="007E655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86879" w:rsidRPr="00286879">
        <w:rPr>
          <w:rFonts w:ascii="Arial" w:hAnsi="Arial" w:cs="Arial"/>
          <w:sz w:val="20"/>
          <w:szCs w:val="20"/>
        </w:rPr>
        <w:t>Vietnam A</w:t>
      </w:r>
      <w:r>
        <w:rPr>
          <w:rFonts w:ascii="Arial" w:hAnsi="Arial" w:cs="Arial"/>
          <w:sz w:val="20"/>
          <w:szCs w:val="20"/>
        </w:rPr>
        <w:t>uditing and Valuation Co., Ltd</w:t>
      </w:r>
    </w:p>
    <w:p w:rsidR="00EE41C5" w:rsidRDefault="007E655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</w:t>
      </w:r>
      <w:r w:rsidR="00286879" w:rsidRPr="00286879">
        <w:rPr>
          <w:rFonts w:ascii="Arial" w:hAnsi="Arial" w:cs="Arial"/>
          <w:sz w:val="20"/>
          <w:szCs w:val="20"/>
        </w:rPr>
        <w:t xml:space="preserve">Approval of the statement </w:t>
      </w:r>
      <w:r w:rsidR="00EE41C5">
        <w:rPr>
          <w:rFonts w:ascii="Arial" w:hAnsi="Arial" w:cs="Arial"/>
          <w:sz w:val="20"/>
          <w:szCs w:val="20"/>
        </w:rPr>
        <w:t xml:space="preserve">on </w:t>
      </w:r>
      <w:r w:rsidR="00EE41C5" w:rsidRPr="00286879">
        <w:rPr>
          <w:rFonts w:ascii="Arial" w:hAnsi="Arial" w:cs="Arial"/>
          <w:sz w:val="20"/>
          <w:szCs w:val="20"/>
        </w:rPr>
        <w:t>remuneration</w:t>
      </w:r>
      <w:r w:rsidR="00286879" w:rsidRPr="00286879">
        <w:rPr>
          <w:rFonts w:ascii="Arial" w:hAnsi="Arial" w:cs="Arial"/>
          <w:sz w:val="20"/>
          <w:szCs w:val="20"/>
        </w:rPr>
        <w:t xml:space="preserve"> to the Board of Directors and the </w:t>
      </w:r>
      <w:r w:rsidR="00EE41C5">
        <w:rPr>
          <w:rFonts w:ascii="Arial" w:hAnsi="Arial" w:cs="Arial"/>
          <w:sz w:val="20"/>
          <w:szCs w:val="20"/>
        </w:rPr>
        <w:t>Supervisory Board in 2019 and proposal of</w:t>
      </w:r>
      <w:r w:rsidR="00286879" w:rsidRPr="00286879">
        <w:rPr>
          <w:rFonts w:ascii="Arial" w:hAnsi="Arial" w:cs="Arial"/>
          <w:sz w:val="20"/>
          <w:szCs w:val="20"/>
        </w:rPr>
        <w:t xml:space="preserve"> the remuneration level for 2020 as follows: </w:t>
      </w:r>
    </w:p>
    <w:p w:rsidR="00EE41C5" w:rsidRDefault="00286879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879">
        <w:rPr>
          <w:rFonts w:ascii="Arial" w:hAnsi="Arial" w:cs="Arial"/>
          <w:sz w:val="20"/>
          <w:szCs w:val="20"/>
        </w:rPr>
        <w:t xml:space="preserve">1. Finalization of remuneration and wage of the Board of Directors and the </w:t>
      </w:r>
      <w:r w:rsidR="00EE41C5">
        <w:rPr>
          <w:rFonts w:ascii="Arial" w:hAnsi="Arial" w:cs="Arial"/>
          <w:sz w:val="20"/>
          <w:szCs w:val="20"/>
        </w:rPr>
        <w:t>Supervisory Board</w:t>
      </w:r>
      <w:r w:rsidRPr="00286879">
        <w:rPr>
          <w:rFonts w:ascii="Arial" w:hAnsi="Arial" w:cs="Arial"/>
          <w:sz w:val="20"/>
          <w:szCs w:val="20"/>
        </w:rPr>
        <w:t xml:space="preserve"> in 2019: </w:t>
      </w:r>
    </w:p>
    <w:p w:rsidR="00EE41C5" w:rsidRDefault="00EE41C5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86879" w:rsidRPr="00286879">
        <w:rPr>
          <w:rFonts w:ascii="Arial" w:hAnsi="Arial" w:cs="Arial"/>
          <w:sz w:val="20"/>
          <w:szCs w:val="20"/>
        </w:rPr>
        <w:t>Board of Directors: Total</w:t>
      </w:r>
      <w:r>
        <w:rPr>
          <w:rFonts w:ascii="Arial" w:hAnsi="Arial" w:cs="Arial"/>
          <w:sz w:val="20"/>
          <w:szCs w:val="20"/>
        </w:rPr>
        <w:t xml:space="preserve"> remuneration, salary in 2019</w:t>
      </w:r>
      <w:r w:rsidR="00286879" w:rsidRPr="0028687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4.9 billion, in </w:t>
      </w:r>
      <w:r w:rsidR="00286879" w:rsidRPr="00286879">
        <w:rPr>
          <w:rFonts w:ascii="Arial" w:hAnsi="Arial" w:cs="Arial"/>
          <w:sz w:val="20"/>
          <w:szCs w:val="20"/>
        </w:rPr>
        <w:t xml:space="preserve">which: </w:t>
      </w:r>
    </w:p>
    <w:p w:rsidR="00EE41C5" w:rsidRDefault="00286879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879">
        <w:rPr>
          <w:rFonts w:ascii="Arial" w:hAnsi="Arial" w:cs="Arial"/>
          <w:sz w:val="20"/>
          <w:szCs w:val="20"/>
        </w:rPr>
        <w:t xml:space="preserve">- Remuneration for part-time </w:t>
      </w:r>
      <w:r w:rsidR="00EE41C5">
        <w:rPr>
          <w:rFonts w:ascii="Arial" w:hAnsi="Arial" w:cs="Arial"/>
          <w:sz w:val="20"/>
          <w:szCs w:val="20"/>
        </w:rPr>
        <w:t xml:space="preserve">members of the Board of Directors </w:t>
      </w:r>
      <w:r w:rsidRPr="00286879">
        <w:rPr>
          <w:rFonts w:ascii="Arial" w:hAnsi="Arial" w:cs="Arial"/>
          <w:sz w:val="20"/>
          <w:szCs w:val="20"/>
        </w:rPr>
        <w:t xml:space="preserve"> </w:t>
      </w:r>
    </w:p>
    <w:p w:rsidR="00303F4F" w:rsidRDefault="00286879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879">
        <w:rPr>
          <w:rFonts w:ascii="Arial" w:hAnsi="Arial" w:cs="Arial"/>
          <w:sz w:val="20"/>
          <w:szCs w:val="20"/>
        </w:rPr>
        <w:t>+ Remune</w:t>
      </w:r>
      <w:r w:rsidR="00EE41C5">
        <w:rPr>
          <w:rFonts w:ascii="Arial" w:hAnsi="Arial" w:cs="Arial"/>
          <w:sz w:val="20"/>
          <w:szCs w:val="20"/>
        </w:rPr>
        <w:t>ration for the Chairman of the Board of Directors</w:t>
      </w:r>
      <w:r w:rsidRPr="00286879">
        <w:rPr>
          <w:rFonts w:ascii="Arial" w:hAnsi="Arial" w:cs="Arial"/>
          <w:sz w:val="20"/>
          <w:szCs w:val="20"/>
        </w:rPr>
        <w:t xml:space="preserve">: </w:t>
      </w:r>
      <w:r w:rsidR="00EE41C5">
        <w:rPr>
          <w:rFonts w:ascii="Arial" w:hAnsi="Arial" w:cs="Arial"/>
          <w:sz w:val="20"/>
          <w:szCs w:val="20"/>
        </w:rPr>
        <w:t>VND 3,000,000</w:t>
      </w:r>
      <w:r w:rsidR="00303F4F">
        <w:rPr>
          <w:rFonts w:ascii="Arial" w:hAnsi="Arial" w:cs="Arial"/>
          <w:sz w:val="20"/>
          <w:szCs w:val="20"/>
        </w:rPr>
        <w:t>/ month</w:t>
      </w:r>
    </w:p>
    <w:p w:rsidR="00303F4F" w:rsidRDefault="00286879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879">
        <w:rPr>
          <w:rFonts w:ascii="Arial" w:hAnsi="Arial" w:cs="Arial"/>
          <w:sz w:val="20"/>
          <w:szCs w:val="20"/>
        </w:rPr>
        <w:t>+ Remuneration for other</w:t>
      </w:r>
      <w:r w:rsidR="00303F4F">
        <w:rPr>
          <w:rFonts w:ascii="Arial" w:hAnsi="Arial" w:cs="Arial"/>
          <w:sz w:val="20"/>
          <w:szCs w:val="20"/>
        </w:rPr>
        <w:t xml:space="preserve"> members of the</w:t>
      </w:r>
      <w:r w:rsidRPr="00286879">
        <w:rPr>
          <w:rFonts w:ascii="Arial" w:hAnsi="Arial" w:cs="Arial"/>
          <w:sz w:val="20"/>
          <w:szCs w:val="20"/>
        </w:rPr>
        <w:t xml:space="preserve"> </w:t>
      </w:r>
      <w:r w:rsidR="00303F4F">
        <w:rPr>
          <w:rFonts w:ascii="Arial" w:hAnsi="Arial" w:cs="Arial"/>
          <w:sz w:val="20"/>
          <w:szCs w:val="20"/>
        </w:rPr>
        <w:t>Board of Directors</w:t>
      </w:r>
      <w:r w:rsidRPr="00286879">
        <w:rPr>
          <w:rFonts w:ascii="Arial" w:hAnsi="Arial" w:cs="Arial"/>
          <w:sz w:val="20"/>
          <w:szCs w:val="20"/>
        </w:rPr>
        <w:t xml:space="preserve">: VND </w:t>
      </w:r>
      <w:r w:rsidR="00303F4F">
        <w:rPr>
          <w:rFonts w:ascii="Arial" w:hAnsi="Arial" w:cs="Arial"/>
          <w:sz w:val="20"/>
          <w:szCs w:val="20"/>
        </w:rPr>
        <w:t>2,000,000/ person</w:t>
      </w:r>
      <w:r w:rsidRPr="00286879">
        <w:rPr>
          <w:rFonts w:ascii="Arial" w:hAnsi="Arial" w:cs="Arial"/>
          <w:sz w:val="20"/>
          <w:szCs w:val="20"/>
        </w:rPr>
        <w:t>/ mo</w:t>
      </w:r>
      <w:r w:rsidR="00303F4F">
        <w:rPr>
          <w:rFonts w:ascii="Arial" w:hAnsi="Arial" w:cs="Arial"/>
          <w:sz w:val="20"/>
          <w:szCs w:val="20"/>
        </w:rPr>
        <w:t>nth</w:t>
      </w:r>
    </w:p>
    <w:p w:rsidR="00303F4F" w:rsidRDefault="00303F4F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86879" w:rsidRPr="00286879">
        <w:rPr>
          <w:rFonts w:ascii="Arial" w:hAnsi="Arial" w:cs="Arial"/>
          <w:sz w:val="20"/>
          <w:szCs w:val="20"/>
        </w:rPr>
        <w:t xml:space="preserve"> Salary for full-time </w:t>
      </w:r>
      <w:r>
        <w:rPr>
          <w:rFonts w:ascii="Arial" w:hAnsi="Arial" w:cs="Arial"/>
          <w:sz w:val="20"/>
          <w:szCs w:val="20"/>
        </w:rPr>
        <w:t>members of the Board of Directors</w:t>
      </w:r>
      <w:r w:rsidR="00286879" w:rsidRPr="00286879">
        <w:rPr>
          <w:rFonts w:ascii="Arial" w:hAnsi="Arial" w:cs="Arial"/>
          <w:sz w:val="20"/>
          <w:szCs w:val="20"/>
        </w:rPr>
        <w:t xml:space="preserve">: </w:t>
      </w:r>
    </w:p>
    <w:p w:rsidR="00286879" w:rsidRDefault="00286879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879">
        <w:rPr>
          <w:rFonts w:ascii="Arial" w:hAnsi="Arial" w:cs="Arial"/>
          <w:sz w:val="20"/>
          <w:szCs w:val="20"/>
        </w:rPr>
        <w:t>Payment is made accordi</w:t>
      </w:r>
      <w:r w:rsidR="00703286">
        <w:rPr>
          <w:rFonts w:ascii="Arial" w:hAnsi="Arial" w:cs="Arial"/>
          <w:sz w:val="20"/>
          <w:szCs w:val="20"/>
        </w:rPr>
        <w:t>ng to the Corporation's salary r</w:t>
      </w:r>
      <w:r w:rsidRPr="00286879">
        <w:rPr>
          <w:rFonts w:ascii="Arial" w:hAnsi="Arial" w:cs="Arial"/>
          <w:sz w:val="20"/>
          <w:szCs w:val="20"/>
        </w:rPr>
        <w:t xml:space="preserve">egulations and </w:t>
      </w:r>
      <w:r w:rsidR="00703286">
        <w:rPr>
          <w:rFonts w:ascii="Arial" w:hAnsi="Arial" w:cs="Arial"/>
          <w:sz w:val="20"/>
          <w:szCs w:val="20"/>
        </w:rPr>
        <w:t xml:space="preserve">in </w:t>
      </w:r>
      <w:r w:rsidRPr="00286879">
        <w:rPr>
          <w:rFonts w:ascii="Arial" w:hAnsi="Arial" w:cs="Arial"/>
          <w:sz w:val="20"/>
          <w:szCs w:val="20"/>
        </w:rPr>
        <w:t>co</w:t>
      </w:r>
      <w:r w:rsidR="00703286">
        <w:rPr>
          <w:rFonts w:ascii="Arial" w:hAnsi="Arial" w:cs="Arial"/>
          <w:sz w:val="20"/>
          <w:szCs w:val="20"/>
        </w:rPr>
        <w:t>mpliance with Resolution No. 03/ NQ - CT - HD</w:t>
      </w:r>
      <w:r w:rsidRPr="00286879">
        <w:rPr>
          <w:rFonts w:ascii="Arial" w:hAnsi="Arial" w:cs="Arial"/>
          <w:sz w:val="20"/>
          <w:szCs w:val="20"/>
        </w:rPr>
        <w:t xml:space="preserve">QT approved by the Annual General Meeting of Shareholders on </w:t>
      </w:r>
      <w:r w:rsidR="00703286">
        <w:rPr>
          <w:rFonts w:ascii="Arial" w:hAnsi="Arial" w:cs="Arial"/>
          <w:sz w:val="20"/>
          <w:szCs w:val="20"/>
        </w:rPr>
        <w:t>23 Apr 2019</w:t>
      </w:r>
    </w:p>
    <w:p w:rsidR="00237A94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237A94">
        <w:rPr>
          <w:rFonts w:ascii="Arial" w:hAnsi="Arial" w:cs="Arial"/>
          <w:sz w:val="20"/>
          <w:szCs w:val="20"/>
        </w:rPr>
        <w:t>Supervisory Board: Tot</w:t>
      </w:r>
      <w:r>
        <w:rPr>
          <w:rFonts w:ascii="Arial" w:hAnsi="Arial" w:cs="Arial"/>
          <w:sz w:val="20"/>
          <w:szCs w:val="20"/>
        </w:rPr>
        <w:t>al remuneration, salary in 2019</w:t>
      </w:r>
      <w:r w:rsidRPr="00237A9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1.7 billion, in </w:t>
      </w:r>
      <w:r w:rsidRPr="00237A94">
        <w:rPr>
          <w:rFonts w:ascii="Arial" w:hAnsi="Arial" w:cs="Arial"/>
          <w:sz w:val="20"/>
          <w:szCs w:val="20"/>
        </w:rPr>
        <w:t xml:space="preserve">which: </w:t>
      </w:r>
    </w:p>
    <w:p w:rsidR="005F34BF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37A94">
        <w:rPr>
          <w:rFonts w:ascii="Arial" w:hAnsi="Arial" w:cs="Arial"/>
          <w:sz w:val="20"/>
          <w:szCs w:val="20"/>
        </w:rPr>
        <w:t xml:space="preserve">Remuneration for part-time </w:t>
      </w:r>
      <w:r>
        <w:rPr>
          <w:rFonts w:ascii="Arial" w:hAnsi="Arial" w:cs="Arial"/>
          <w:sz w:val="20"/>
          <w:szCs w:val="20"/>
        </w:rPr>
        <w:t xml:space="preserve">members of the </w:t>
      </w:r>
      <w:r w:rsidRPr="00237A94">
        <w:rPr>
          <w:rFonts w:ascii="Arial" w:hAnsi="Arial" w:cs="Arial"/>
          <w:sz w:val="20"/>
          <w:szCs w:val="20"/>
        </w:rPr>
        <w:t xml:space="preserve">Supervisory Board </w:t>
      </w:r>
    </w:p>
    <w:p w:rsidR="005F34BF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 xml:space="preserve">+ Remuneration for Head of Supervisory Board: </w:t>
      </w:r>
      <w:r w:rsidR="005F34BF">
        <w:rPr>
          <w:rFonts w:ascii="Arial" w:hAnsi="Arial" w:cs="Arial"/>
          <w:sz w:val="20"/>
          <w:szCs w:val="20"/>
        </w:rPr>
        <w:t>VND 2,000,000/ month</w:t>
      </w:r>
    </w:p>
    <w:p w:rsidR="00565B08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lastRenderedPageBreak/>
        <w:t xml:space="preserve">+ Remuneration for other members </w:t>
      </w:r>
      <w:r w:rsidR="005F34BF">
        <w:rPr>
          <w:rFonts w:ascii="Arial" w:hAnsi="Arial" w:cs="Arial"/>
          <w:sz w:val="20"/>
          <w:szCs w:val="20"/>
        </w:rPr>
        <w:t xml:space="preserve">of the Supervisory Board: VND 1,000,000/ </w:t>
      </w:r>
      <w:r w:rsidRPr="00237A94">
        <w:rPr>
          <w:rFonts w:ascii="Arial" w:hAnsi="Arial" w:cs="Arial"/>
          <w:sz w:val="20"/>
          <w:szCs w:val="20"/>
        </w:rPr>
        <w:t>person</w:t>
      </w:r>
      <w:r w:rsidR="00565B08">
        <w:rPr>
          <w:rFonts w:ascii="Arial" w:hAnsi="Arial" w:cs="Arial"/>
          <w:sz w:val="20"/>
          <w:szCs w:val="20"/>
        </w:rPr>
        <w:t>/ month</w:t>
      </w:r>
    </w:p>
    <w:p w:rsidR="00565B08" w:rsidRDefault="00565B08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7A94" w:rsidRPr="00237A94">
        <w:rPr>
          <w:rFonts w:ascii="Arial" w:hAnsi="Arial" w:cs="Arial"/>
          <w:sz w:val="20"/>
          <w:szCs w:val="20"/>
        </w:rPr>
        <w:t xml:space="preserve"> Salary for the </w:t>
      </w:r>
      <w:r>
        <w:rPr>
          <w:rFonts w:ascii="Arial" w:hAnsi="Arial" w:cs="Arial"/>
          <w:sz w:val="20"/>
          <w:szCs w:val="20"/>
        </w:rPr>
        <w:t>Supervisory Board</w:t>
      </w:r>
      <w:r w:rsidR="00237A94" w:rsidRPr="00237A94">
        <w:rPr>
          <w:rFonts w:ascii="Arial" w:hAnsi="Arial" w:cs="Arial"/>
          <w:sz w:val="20"/>
          <w:szCs w:val="20"/>
        </w:rPr>
        <w:t xml:space="preserve">: </w:t>
      </w:r>
    </w:p>
    <w:p w:rsidR="001B34AC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 xml:space="preserve">Pay in accordance with </w:t>
      </w:r>
      <w:r w:rsidR="001B34AC">
        <w:rPr>
          <w:rFonts w:ascii="Arial" w:hAnsi="Arial" w:cs="Arial"/>
          <w:sz w:val="20"/>
          <w:szCs w:val="20"/>
        </w:rPr>
        <w:t>the Corporation's salary r</w:t>
      </w:r>
      <w:r w:rsidR="001B34AC" w:rsidRPr="00286879">
        <w:rPr>
          <w:rFonts w:ascii="Arial" w:hAnsi="Arial" w:cs="Arial"/>
          <w:sz w:val="20"/>
          <w:szCs w:val="20"/>
        </w:rPr>
        <w:t xml:space="preserve">egulations and </w:t>
      </w:r>
      <w:r w:rsidR="001B34AC">
        <w:rPr>
          <w:rFonts w:ascii="Arial" w:hAnsi="Arial" w:cs="Arial"/>
          <w:sz w:val="20"/>
          <w:szCs w:val="20"/>
        </w:rPr>
        <w:t xml:space="preserve">in </w:t>
      </w:r>
      <w:r w:rsidR="001B34AC" w:rsidRPr="00286879">
        <w:rPr>
          <w:rFonts w:ascii="Arial" w:hAnsi="Arial" w:cs="Arial"/>
          <w:sz w:val="20"/>
          <w:szCs w:val="20"/>
        </w:rPr>
        <w:t>co</w:t>
      </w:r>
      <w:r w:rsidR="001B34AC">
        <w:rPr>
          <w:rFonts w:ascii="Arial" w:hAnsi="Arial" w:cs="Arial"/>
          <w:sz w:val="20"/>
          <w:szCs w:val="20"/>
        </w:rPr>
        <w:t>mpliance with Resolution No. 03/ NQ - CT - HD</w:t>
      </w:r>
      <w:r w:rsidR="001B34AC" w:rsidRPr="00286879">
        <w:rPr>
          <w:rFonts w:ascii="Arial" w:hAnsi="Arial" w:cs="Arial"/>
          <w:sz w:val="20"/>
          <w:szCs w:val="20"/>
        </w:rPr>
        <w:t xml:space="preserve">QT approved by the Annual General Meeting of Shareholders on </w:t>
      </w:r>
      <w:r w:rsidR="001B34AC">
        <w:rPr>
          <w:rFonts w:ascii="Arial" w:hAnsi="Arial" w:cs="Arial"/>
          <w:sz w:val="20"/>
          <w:szCs w:val="20"/>
        </w:rPr>
        <w:t>23 Apr 2019</w:t>
      </w:r>
    </w:p>
    <w:p w:rsidR="001B34AC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 xml:space="preserve">2. Proposal for remuneration and salary for the Board of </w:t>
      </w:r>
      <w:r w:rsidR="001B34AC">
        <w:rPr>
          <w:rFonts w:ascii="Arial" w:hAnsi="Arial" w:cs="Arial"/>
          <w:sz w:val="20"/>
          <w:szCs w:val="20"/>
        </w:rPr>
        <w:t xml:space="preserve">Directors, Supervisory Board, </w:t>
      </w:r>
      <w:r w:rsidRPr="00237A94">
        <w:rPr>
          <w:rFonts w:ascii="Arial" w:hAnsi="Arial" w:cs="Arial"/>
          <w:sz w:val="20"/>
          <w:szCs w:val="20"/>
        </w:rPr>
        <w:t xml:space="preserve">Secretary of the Board of Directors in 2020: </w:t>
      </w:r>
    </w:p>
    <w:p w:rsidR="001B34AC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>Estimated total remuneration and salary of the Board of Director</w:t>
      </w:r>
      <w:r w:rsidR="001B34AC">
        <w:rPr>
          <w:rFonts w:ascii="Arial" w:hAnsi="Arial" w:cs="Arial"/>
          <w:sz w:val="20"/>
          <w:szCs w:val="20"/>
        </w:rPr>
        <w:t xml:space="preserve">s and the Secretariat in 2020: VND 4.3 </w:t>
      </w:r>
      <w:r w:rsidRPr="00237A94">
        <w:rPr>
          <w:rFonts w:ascii="Arial" w:hAnsi="Arial" w:cs="Arial"/>
          <w:sz w:val="20"/>
          <w:szCs w:val="20"/>
        </w:rPr>
        <w:t xml:space="preserve">billion, in which: </w:t>
      </w:r>
    </w:p>
    <w:p w:rsidR="00AF3BD4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 xml:space="preserve">- Remuneration for </w:t>
      </w:r>
      <w:r w:rsidR="001B34AC">
        <w:rPr>
          <w:rFonts w:ascii="Arial" w:hAnsi="Arial" w:cs="Arial"/>
          <w:sz w:val="20"/>
          <w:szCs w:val="20"/>
        </w:rPr>
        <w:t>part-time members of the Board of Directors and part-time secretary</w:t>
      </w:r>
      <w:r w:rsidRPr="00237A94">
        <w:rPr>
          <w:rFonts w:ascii="Arial" w:hAnsi="Arial" w:cs="Arial"/>
          <w:sz w:val="20"/>
          <w:szCs w:val="20"/>
        </w:rPr>
        <w:t xml:space="preserve">: </w:t>
      </w:r>
    </w:p>
    <w:p w:rsidR="00AF3BD4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>+ Remune</w:t>
      </w:r>
      <w:r w:rsidR="00AF3BD4">
        <w:rPr>
          <w:rFonts w:ascii="Arial" w:hAnsi="Arial" w:cs="Arial"/>
          <w:sz w:val="20"/>
          <w:szCs w:val="20"/>
        </w:rPr>
        <w:t>ration for the Chairman of the Board of Directors</w:t>
      </w:r>
      <w:r w:rsidRPr="00237A94">
        <w:rPr>
          <w:rFonts w:ascii="Arial" w:hAnsi="Arial" w:cs="Arial"/>
          <w:sz w:val="20"/>
          <w:szCs w:val="20"/>
        </w:rPr>
        <w:t>: VND 10</w:t>
      </w:r>
      <w:r w:rsidR="00AF3BD4">
        <w:rPr>
          <w:rFonts w:ascii="Arial" w:hAnsi="Arial" w:cs="Arial"/>
          <w:sz w:val="20"/>
          <w:szCs w:val="20"/>
        </w:rPr>
        <w:t>,000,000</w:t>
      </w:r>
      <w:r w:rsidRPr="00237A94">
        <w:rPr>
          <w:rFonts w:ascii="Arial" w:hAnsi="Arial" w:cs="Arial"/>
          <w:sz w:val="20"/>
          <w:szCs w:val="20"/>
        </w:rPr>
        <w:t xml:space="preserve">/ month </w:t>
      </w:r>
    </w:p>
    <w:p w:rsidR="002076B3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>+ Remuneration for other members</w:t>
      </w:r>
      <w:r w:rsidR="00AF3BD4">
        <w:rPr>
          <w:rFonts w:ascii="Arial" w:hAnsi="Arial" w:cs="Arial"/>
          <w:sz w:val="20"/>
          <w:szCs w:val="20"/>
        </w:rPr>
        <w:t xml:space="preserve"> of the Board of Directors</w:t>
      </w:r>
      <w:r w:rsidRPr="00237A94">
        <w:rPr>
          <w:rFonts w:ascii="Arial" w:hAnsi="Arial" w:cs="Arial"/>
          <w:sz w:val="20"/>
          <w:szCs w:val="20"/>
        </w:rPr>
        <w:t>: VND 7</w:t>
      </w:r>
      <w:r w:rsidR="00AF3BD4">
        <w:rPr>
          <w:rFonts w:ascii="Arial" w:hAnsi="Arial" w:cs="Arial"/>
          <w:sz w:val="20"/>
          <w:szCs w:val="20"/>
        </w:rPr>
        <w:t>,000,000</w:t>
      </w:r>
      <w:r w:rsidRPr="00237A94">
        <w:rPr>
          <w:rFonts w:ascii="Arial" w:hAnsi="Arial" w:cs="Arial"/>
          <w:sz w:val="20"/>
          <w:szCs w:val="20"/>
        </w:rPr>
        <w:t>/ person/ month</w:t>
      </w:r>
    </w:p>
    <w:p w:rsidR="002076B3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 xml:space="preserve">+ Remuneration for a part-time </w:t>
      </w:r>
      <w:r w:rsidR="002076B3" w:rsidRPr="00237A94">
        <w:rPr>
          <w:rFonts w:ascii="Arial" w:hAnsi="Arial" w:cs="Arial"/>
          <w:sz w:val="20"/>
          <w:szCs w:val="20"/>
        </w:rPr>
        <w:t xml:space="preserve">secretary </w:t>
      </w:r>
      <w:r w:rsidR="002076B3">
        <w:rPr>
          <w:rFonts w:ascii="Arial" w:hAnsi="Arial" w:cs="Arial"/>
          <w:sz w:val="20"/>
          <w:szCs w:val="20"/>
        </w:rPr>
        <w:t>of the Board of Directors: VND 5 million/ person/ month</w:t>
      </w:r>
    </w:p>
    <w:p w:rsidR="00B350DA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>- Salary for memb</w:t>
      </w:r>
      <w:r w:rsidR="002076B3">
        <w:rPr>
          <w:rFonts w:ascii="Arial" w:hAnsi="Arial" w:cs="Arial"/>
          <w:sz w:val="20"/>
          <w:szCs w:val="20"/>
        </w:rPr>
        <w:t>ers of the Board of Directors, full-time</w:t>
      </w:r>
      <w:r w:rsidRPr="00237A94">
        <w:rPr>
          <w:rFonts w:ascii="Arial" w:hAnsi="Arial" w:cs="Arial"/>
          <w:sz w:val="20"/>
          <w:szCs w:val="20"/>
        </w:rPr>
        <w:t xml:space="preserve"> secretariat: Pay </w:t>
      </w:r>
      <w:r w:rsidR="002076B3">
        <w:rPr>
          <w:rFonts w:ascii="Arial" w:hAnsi="Arial" w:cs="Arial"/>
          <w:sz w:val="20"/>
          <w:szCs w:val="20"/>
        </w:rPr>
        <w:t>according to the Corporation's salary and internal r</w:t>
      </w:r>
      <w:r w:rsidRPr="00237A94">
        <w:rPr>
          <w:rFonts w:ascii="Arial" w:hAnsi="Arial" w:cs="Arial"/>
          <w:sz w:val="20"/>
          <w:szCs w:val="20"/>
        </w:rPr>
        <w:t>egulations on the basis of the Corporation's results of production and business, ensuring</w:t>
      </w:r>
      <w:r w:rsidR="00980FCE">
        <w:rPr>
          <w:rFonts w:ascii="Arial" w:hAnsi="Arial" w:cs="Arial"/>
          <w:sz w:val="20"/>
          <w:szCs w:val="20"/>
        </w:rPr>
        <w:t xml:space="preserve"> the principle</w:t>
      </w:r>
      <w:r w:rsidRPr="00237A94">
        <w:rPr>
          <w:rFonts w:ascii="Arial" w:hAnsi="Arial" w:cs="Arial"/>
          <w:sz w:val="20"/>
          <w:szCs w:val="20"/>
        </w:rPr>
        <w:t xml:space="preserve"> </w:t>
      </w:r>
      <w:r w:rsidR="00980FCE">
        <w:rPr>
          <w:rFonts w:ascii="Arial" w:hAnsi="Arial" w:cs="Arial"/>
          <w:sz w:val="20"/>
          <w:szCs w:val="20"/>
        </w:rPr>
        <w:t>of t</w:t>
      </w:r>
      <w:r w:rsidRPr="00237A94">
        <w:rPr>
          <w:rFonts w:ascii="Arial" w:hAnsi="Arial" w:cs="Arial"/>
          <w:sz w:val="20"/>
          <w:szCs w:val="20"/>
        </w:rPr>
        <w:t>he salary increase rate of a manager not exceed</w:t>
      </w:r>
      <w:r w:rsidR="00B350DA">
        <w:rPr>
          <w:rFonts w:ascii="Arial" w:hAnsi="Arial" w:cs="Arial"/>
          <w:sz w:val="20"/>
          <w:szCs w:val="20"/>
        </w:rPr>
        <w:t>ing</w:t>
      </w:r>
      <w:r w:rsidRPr="00237A94">
        <w:rPr>
          <w:rFonts w:ascii="Arial" w:hAnsi="Arial" w:cs="Arial"/>
          <w:sz w:val="20"/>
          <w:szCs w:val="20"/>
        </w:rPr>
        <w:t xml:space="preserve"> the sal</w:t>
      </w:r>
      <w:r w:rsidR="00B350DA">
        <w:rPr>
          <w:rFonts w:ascii="Arial" w:hAnsi="Arial" w:cs="Arial"/>
          <w:sz w:val="20"/>
          <w:szCs w:val="20"/>
        </w:rPr>
        <w:t>ary increase rate of employees</w:t>
      </w:r>
    </w:p>
    <w:p w:rsidR="00B350DA" w:rsidRDefault="00B350DA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237A94" w:rsidRPr="00237A94">
        <w:rPr>
          <w:rFonts w:ascii="Arial" w:hAnsi="Arial" w:cs="Arial"/>
          <w:sz w:val="20"/>
          <w:szCs w:val="20"/>
        </w:rPr>
        <w:t xml:space="preserve"> Proposal for remuneration, salary of the Supervisory Board: </w:t>
      </w:r>
    </w:p>
    <w:p w:rsidR="00B350DA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 xml:space="preserve">The total expected remuneration and salary of </w:t>
      </w:r>
      <w:r w:rsidR="00B350DA">
        <w:rPr>
          <w:rFonts w:ascii="Arial" w:hAnsi="Arial" w:cs="Arial"/>
          <w:sz w:val="20"/>
          <w:szCs w:val="20"/>
        </w:rPr>
        <w:t>the Supervisory Board in 2020:</w:t>
      </w:r>
      <w:r w:rsidRPr="00237A94">
        <w:rPr>
          <w:rFonts w:ascii="Arial" w:hAnsi="Arial" w:cs="Arial"/>
          <w:sz w:val="20"/>
          <w:szCs w:val="20"/>
        </w:rPr>
        <w:t xml:space="preserve"> VND 2.1 billion, </w:t>
      </w:r>
      <w:r w:rsidR="00B350DA">
        <w:rPr>
          <w:rFonts w:ascii="Arial" w:hAnsi="Arial" w:cs="Arial"/>
          <w:sz w:val="20"/>
          <w:szCs w:val="20"/>
        </w:rPr>
        <w:t>in which</w:t>
      </w:r>
      <w:r w:rsidRPr="00237A94">
        <w:rPr>
          <w:rFonts w:ascii="Arial" w:hAnsi="Arial" w:cs="Arial"/>
          <w:sz w:val="20"/>
          <w:szCs w:val="20"/>
        </w:rPr>
        <w:t xml:space="preserve">: </w:t>
      </w:r>
    </w:p>
    <w:p w:rsidR="00B350DA" w:rsidRDefault="00B350DA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7A94" w:rsidRPr="00237A94">
        <w:rPr>
          <w:rFonts w:ascii="Arial" w:hAnsi="Arial" w:cs="Arial"/>
          <w:sz w:val="20"/>
          <w:szCs w:val="20"/>
        </w:rPr>
        <w:t>Remuneration for part-time Superviso</w:t>
      </w:r>
      <w:r>
        <w:rPr>
          <w:rFonts w:ascii="Arial" w:hAnsi="Arial" w:cs="Arial"/>
          <w:sz w:val="20"/>
          <w:szCs w:val="20"/>
        </w:rPr>
        <w:t>ry Board members: VND 5 million/ person</w:t>
      </w:r>
      <w:r w:rsidR="00237A94" w:rsidRPr="00237A94">
        <w:rPr>
          <w:rFonts w:ascii="Arial" w:hAnsi="Arial" w:cs="Arial"/>
          <w:sz w:val="20"/>
          <w:szCs w:val="20"/>
        </w:rPr>
        <w:t xml:space="preserve">/ month  </w:t>
      </w:r>
    </w:p>
    <w:p w:rsidR="00E84B03" w:rsidRDefault="00237A9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A94">
        <w:rPr>
          <w:rFonts w:ascii="Arial" w:hAnsi="Arial" w:cs="Arial"/>
          <w:sz w:val="20"/>
          <w:szCs w:val="20"/>
        </w:rPr>
        <w:t>- Salary for full-time Sup</w:t>
      </w:r>
      <w:r w:rsidR="007D4378">
        <w:rPr>
          <w:rFonts w:ascii="Arial" w:hAnsi="Arial" w:cs="Arial"/>
          <w:sz w:val="20"/>
          <w:szCs w:val="20"/>
        </w:rPr>
        <w:t xml:space="preserve">ervisory Board members: </w:t>
      </w:r>
      <w:r w:rsidR="007D4378" w:rsidRPr="007D4378">
        <w:rPr>
          <w:rFonts w:ascii="Arial" w:hAnsi="Arial" w:cs="Arial"/>
          <w:sz w:val="20"/>
          <w:szCs w:val="20"/>
        </w:rPr>
        <w:t xml:space="preserve">Pay according to the Corporation's wage and internal regulations on the basis of the Corporation's business results, ensuring the principle of the </w:t>
      </w:r>
      <w:r w:rsidR="00E84B03">
        <w:rPr>
          <w:rFonts w:ascii="Arial" w:hAnsi="Arial" w:cs="Arial"/>
          <w:sz w:val="20"/>
          <w:szCs w:val="20"/>
        </w:rPr>
        <w:t xml:space="preserve">management </w:t>
      </w:r>
      <w:r w:rsidR="007D4378" w:rsidRPr="007D4378">
        <w:rPr>
          <w:rFonts w:ascii="Arial" w:hAnsi="Arial" w:cs="Arial"/>
          <w:sz w:val="20"/>
          <w:szCs w:val="20"/>
        </w:rPr>
        <w:t>wage increase rate not exceed</w:t>
      </w:r>
      <w:r w:rsidR="00E84B03">
        <w:rPr>
          <w:rFonts w:ascii="Arial" w:hAnsi="Arial" w:cs="Arial"/>
          <w:sz w:val="20"/>
          <w:szCs w:val="20"/>
        </w:rPr>
        <w:t>ing</w:t>
      </w:r>
      <w:r w:rsidR="007D4378" w:rsidRPr="007D4378">
        <w:rPr>
          <w:rFonts w:ascii="Arial" w:hAnsi="Arial" w:cs="Arial"/>
          <w:sz w:val="20"/>
          <w:szCs w:val="20"/>
        </w:rPr>
        <w:t xml:space="preserve"> the</w:t>
      </w:r>
      <w:r w:rsidR="00E84B03">
        <w:rPr>
          <w:rFonts w:ascii="Arial" w:hAnsi="Arial" w:cs="Arial"/>
          <w:sz w:val="20"/>
          <w:szCs w:val="20"/>
        </w:rPr>
        <w:t xml:space="preserve"> wage increase rate of workers</w:t>
      </w:r>
    </w:p>
    <w:p w:rsidR="00321DAC" w:rsidRDefault="00E84B0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Expenses on</w:t>
      </w:r>
      <w:r w:rsidR="007D4378" w:rsidRPr="007D4378">
        <w:rPr>
          <w:rFonts w:ascii="Arial" w:hAnsi="Arial" w:cs="Arial"/>
          <w:sz w:val="20"/>
          <w:szCs w:val="20"/>
        </w:rPr>
        <w:t xml:space="preserve"> activities of the </w:t>
      </w:r>
      <w:r>
        <w:rPr>
          <w:rFonts w:ascii="Arial" w:hAnsi="Arial" w:cs="Arial"/>
          <w:sz w:val="20"/>
          <w:szCs w:val="20"/>
        </w:rPr>
        <w:t>Board of Directors and Supervisory Board</w:t>
      </w:r>
      <w:r w:rsidR="007D4378" w:rsidRPr="007D4378">
        <w:rPr>
          <w:rFonts w:ascii="Arial" w:hAnsi="Arial" w:cs="Arial"/>
          <w:sz w:val="20"/>
          <w:szCs w:val="20"/>
        </w:rPr>
        <w:t xml:space="preserve">: comply with the internal regulations issued by the Corporation or the </w:t>
      </w:r>
      <w:r w:rsidR="00321DAC">
        <w:rPr>
          <w:rFonts w:ascii="Arial" w:hAnsi="Arial" w:cs="Arial"/>
          <w:sz w:val="20"/>
          <w:szCs w:val="20"/>
        </w:rPr>
        <w:t xml:space="preserve">Board resolution and report the nearest annual General Meeting of Shareholders </w:t>
      </w:r>
    </w:p>
    <w:p w:rsidR="00CE0D00" w:rsidRDefault="00321DA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8: </w:t>
      </w:r>
      <w:r w:rsidR="007D4378" w:rsidRPr="007D437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 approves the plan on issuing</w:t>
      </w:r>
      <w:r w:rsidR="007D4378" w:rsidRPr="007D4378">
        <w:rPr>
          <w:rFonts w:ascii="Arial" w:hAnsi="Arial" w:cs="Arial"/>
          <w:sz w:val="20"/>
          <w:szCs w:val="20"/>
        </w:rPr>
        <w:t xml:space="preserve"> shares under the </w:t>
      </w:r>
      <w:r w:rsidR="00CE0D00" w:rsidRPr="00CE0D00">
        <w:rPr>
          <w:rFonts w:ascii="Arial" w:hAnsi="Arial" w:cs="Arial"/>
          <w:sz w:val="20"/>
          <w:szCs w:val="20"/>
        </w:rPr>
        <w:t xml:space="preserve">Employee Stock Ownership Plan </w:t>
      </w:r>
      <w:r w:rsidR="00CE0D00">
        <w:rPr>
          <w:rFonts w:ascii="Arial" w:hAnsi="Arial" w:cs="Arial"/>
          <w:sz w:val="20"/>
          <w:szCs w:val="20"/>
        </w:rPr>
        <w:t>(ESOP) in 2020</w:t>
      </w:r>
    </w:p>
    <w:p w:rsidR="00CE0D00" w:rsidRDefault="00CE0D00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program and plan for</w:t>
      </w:r>
      <w:r w:rsidR="007D4378" w:rsidRPr="007D4378">
        <w:rPr>
          <w:rFonts w:ascii="Arial" w:hAnsi="Arial" w:cs="Arial"/>
          <w:sz w:val="20"/>
          <w:szCs w:val="20"/>
        </w:rPr>
        <w:t xml:space="preserve"> ESOP share issuance are as follows: </w:t>
      </w:r>
    </w:p>
    <w:p w:rsidR="006D1385" w:rsidRDefault="00CE0D00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a. </w:t>
      </w:r>
      <w:r w:rsidR="007D4378" w:rsidRPr="007D4378">
        <w:rPr>
          <w:rFonts w:ascii="Arial" w:hAnsi="Arial" w:cs="Arial"/>
          <w:sz w:val="20"/>
          <w:szCs w:val="20"/>
        </w:rPr>
        <w:t xml:space="preserve">Purpose of issuing ESOP shares: In order to link employees' interests with the performance of enterprises, supplement </w:t>
      </w:r>
      <w:r w:rsidR="006D1385">
        <w:rPr>
          <w:rFonts w:ascii="Arial" w:hAnsi="Arial" w:cs="Arial"/>
          <w:sz w:val="20"/>
          <w:szCs w:val="20"/>
        </w:rPr>
        <w:t xml:space="preserve">capital for business expansion. </w:t>
      </w:r>
      <w:r w:rsidR="007D4378" w:rsidRPr="007D4378">
        <w:rPr>
          <w:rFonts w:ascii="Arial" w:hAnsi="Arial" w:cs="Arial"/>
          <w:sz w:val="20"/>
          <w:szCs w:val="20"/>
        </w:rPr>
        <w:t>Attracting talented people, key personnel who are dedicated, capable and experienced to contribute to th</w:t>
      </w:r>
      <w:r w:rsidR="006D1385">
        <w:rPr>
          <w:rFonts w:ascii="Arial" w:hAnsi="Arial" w:cs="Arial"/>
          <w:sz w:val="20"/>
          <w:szCs w:val="20"/>
        </w:rPr>
        <w:t>e Corporation for a long time</w:t>
      </w:r>
    </w:p>
    <w:p w:rsidR="006D1385" w:rsidRDefault="006D1385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Name of stock: Share</w:t>
      </w:r>
      <w:r w:rsidR="007D4378" w:rsidRPr="007D437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D4378" w:rsidRPr="007D4378">
        <w:rPr>
          <w:rFonts w:ascii="Arial" w:hAnsi="Arial" w:cs="Arial"/>
          <w:sz w:val="20"/>
          <w:szCs w:val="20"/>
        </w:rPr>
        <w:t>Viettel</w:t>
      </w:r>
      <w:proofErr w:type="spellEnd"/>
      <w:r w:rsidR="007D4378" w:rsidRPr="007D4378">
        <w:rPr>
          <w:rFonts w:ascii="Arial" w:hAnsi="Arial" w:cs="Arial"/>
          <w:sz w:val="20"/>
          <w:szCs w:val="20"/>
        </w:rPr>
        <w:t xml:space="preserve"> Construction Joint Stock C</w:t>
      </w:r>
      <w:r>
        <w:rPr>
          <w:rFonts w:ascii="Arial" w:hAnsi="Arial" w:cs="Arial"/>
          <w:sz w:val="20"/>
          <w:szCs w:val="20"/>
        </w:rPr>
        <w:t>ompany</w:t>
      </w:r>
    </w:p>
    <w:p w:rsidR="008B3B03" w:rsidRDefault="007D4378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4378">
        <w:rPr>
          <w:rFonts w:ascii="Arial" w:hAnsi="Arial" w:cs="Arial"/>
          <w:sz w:val="20"/>
          <w:szCs w:val="20"/>
        </w:rPr>
        <w:t xml:space="preserve">c. Type of stock: Common stock </w:t>
      </w:r>
    </w:p>
    <w:p w:rsidR="008B3B03" w:rsidRDefault="007D4378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4378">
        <w:rPr>
          <w:rFonts w:ascii="Arial" w:hAnsi="Arial" w:cs="Arial"/>
          <w:sz w:val="20"/>
          <w:szCs w:val="20"/>
        </w:rPr>
        <w:t xml:space="preserve">d. Current charter capital: VND 606,975,090,000 </w:t>
      </w:r>
    </w:p>
    <w:p w:rsidR="00703286" w:rsidRDefault="008B3B0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7D4378" w:rsidRPr="007D4378">
        <w:rPr>
          <w:rFonts w:ascii="Arial" w:hAnsi="Arial" w:cs="Arial"/>
          <w:sz w:val="20"/>
          <w:szCs w:val="20"/>
        </w:rPr>
        <w:t xml:space="preserve">Estimated charter capital at the time of issuance: After raising capital by issuing shares </w:t>
      </w:r>
      <w:r w:rsidR="001F42E4">
        <w:rPr>
          <w:rFonts w:ascii="Arial" w:hAnsi="Arial" w:cs="Arial"/>
          <w:sz w:val="20"/>
          <w:szCs w:val="20"/>
        </w:rPr>
        <w:t>for 2019 dividend payment</w:t>
      </w:r>
      <w:r w:rsidR="00C45267">
        <w:rPr>
          <w:rFonts w:ascii="Arial" w:hAnsi="Arial" w:cs="Arial"/>
          <w:sz w:val="20"/>
          <w:szCs w:val="20"/>
        </w:rPr>
        <w:t>:</w:t>
      </w:r>
      <w:r w:rsidR="007D4378" w:rsidRPr="007D4378">
        <w:rPr>
          <w:rFonts w:ascii="Arial" w:hAnsi="Arial" w:cs="Arial"/>
          <w:sz w:val="20"/>
          <w:szCs w:val="20"/>
        </w:rPr>
        <w:t xml:space="preserve"> VND 704,39</w:t>
      </w:r>
      <w:r w:rsidR="00C45267">
        <w:rPr>
          <w:rFonts w:ascii="Arial" w:hAnsi="Arial" w:cs="Arial"/>
          <w:sz w:val="20"/>
          <w:szCs w:val="20"/>
        </w:rPr>
        <w:t>3,828,536 (This charter capital</w:t>
      </w:r>
      <w:r w:rsidR="007D4378" w:rsidRPr="007D4378">
        <w:rPr>
          <w:rFonts w:ascii="Arial" w:hAnsi="Arial" w:cs="Arial"/>
          <w:sz w:val="20"/>
          <w:szCs w:val="20"/>
        </w:rPr>
        <w:t xml:space="preserve"> may be adjusted according to the results of the stock issue </w:t>
      </w:r>
      <w:r w:rsidR="00C45267">
        <w:rPr>
          <w:rFonts w:ascii="Arial" w:hAnsi="Arial" w:cs="Arial"/>
          <w:sz w:val="20"/>
          <w:szCs w:val="20"/>
        </w:rPr>
        <w:t>for dividend payment)</w:t>
      </w:r>
    </w:p>
    <w:p w:rsidR="00970D80" w:rsidRDefault="00C45267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267">
        <w:rPr>
          <w:rFonts w:ascii="Arial" w:hAnsi="Arial" w:cs="Arial"/>
          <w:sz w:val="20"/>
          <w:szCs w:val="20"/>
        </w:rPr>
        <w:t>f. Expected number of outstanding shares: 70,439,382 shares (</w:t>
      </w:r>
      <w:r w:rsidR="00970D80">
        <w:rPr>
          <w:rFonts w:ascii="Arial" w:hAnsi="Arial" w:cs="Arial"/>
          <w:sz w:val="20"/>
          <w:szCs w:val="20"/>
        </w:rPr>
        <w:t>Par value: VND 10,000/ share</w:t>
      </w:r>
      <w:r w:rsidRPr="00C45267">
        <w:rPr>
          <w:rFonts w:ascii="Arial" w:hAnsi="Arial" w:cs="Arial"/>
          <w:sz w:val="20"/>
          <w:szCs w:val="20"/>
        </w:rPr>
        <w:t xml:space="preserve">) </w:t>
      </w:r>
    </w:p>
    <w:p w:rsidR="00B042B1" w:rsidRDefault="00970D80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="00C45267" w:rsidRPr="00C45267">
        <w:rPr>
          <w:rFonts w:ascii="Arial" w:hAnsi="Arial" w:cs="Arial"/>
          <w:sz w:val="20"/>
          <w:szCs w:val="20"/>
        </w:rPr>
        <w:t xml:space="preserve">Number of shares </w:t>
      </w:r>
      <w:r>
        <w:rPr>
          <w:rFonts w:ascii="Arial" w:hAnsi="Arial" w:cs="Arial"/>
          <w:sz w:val="20"/>
          <w:szCs w:val="20"/>
        </w:rPr>
        <w:t xml:space="preserve">expected </w:t>
      </w:r>
      <w:r w:rsidR="00C45267" w:rsidRPr="00C4526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be issued: 1,408,788 shares (equivalent to 2% * n</w:t>
      </w:r>
      <w:r w:rsidR="00D40B5E">
        <w:rPr>
          <w:rFonts w:ascii="Arial" w:hAnsi="Arial" w:cs="Arial"/>
          <w:sz w:val="20"/>
          <w:szCs w:val="20"/>
        </w:rPr>
        <w:t>umber of outstanding shares at</w:t>
      </w:r>
      <w:r w:rsidR="00B042B1">
        <w:rPr>
          <w:rFonts w:ascii="Arial" w:hAnsi="Arial" w:cs="Arial"/>
          <w:sz w:val="20"/>
          <w:szCs w:val="20"/>
        </w:rPr>
        <w:t xml:space="preserve"> time of issue)</w:t>
      </w:r>
    </w:p>
    <w:p w:rsidR="00927D9E" w:rsidRDefault="00B042B1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</w:t>
      </w:r>
      <w:r w:rsidR="00D80CC2">
        <w:rPr>
          <w:rFonts w:ascii="Arial" w:hAnsi="Arial" w:cs="Arial"/>
          <w:sz w:val="20"/>
          <w:szCs w:val="20"/>
        </w:rPr>
        <w:t>Eligible buyer of</w:t>
      </w:r>
      <w:r w:rsidR="00C45267" w:rsidRPr="00C45267">
        <w:rPr>
          <w:rFonts w:ascii="Arial" w:hAnsi="Arial" w:cs="Arial"/>
          <w:sz w:val="20"/>
          <w:szCs w:val="20"/>
        </w:rPr>
        <w:t xml:space="preserve"> ESOP shares: The Board</w:t>
      </w:r>
      <w:r w:rsidR="00E0124C">
        <w:rPr>
          <w:rFonts w:ascii="Arial" w:hAnsi="Arial" w:cs="Arial"/>
          <w:sz w:val="20"/>
          <w:szCs w:val="20"/>
        </w:rPr>
        <w:t xml:space="preserve"> of Directors decides</w:t>
      </w:r>
      <w:r w:rsidR="00C45267" w:rsidRPr="00C45267">
        <w:rPr>
          <w:rFonts w:ascii="Arial" w:hAnsi="Arial" w:cs="Arial"/>
          <w:sz w:val="20"/>
          <w:szCs w:val="20"/>
        </w:rPr>
        <w:t xml:space="preserve"> based on the selection of managers, employees who ha</w:t>
      </w:r>
      <w:r w:rsidR="00927D9E">
        <w:rPr>
          <w:rFonts w:ascii="Arial" w:hAnsi="Arial" w:cs="Arial"/>
          <w:sz w:val="20"/>
          <w:szCs w:val="20"/>
        </w:rPr>
        <w:t>ve good performance, contribute</w:t>
      </w:r>
      <w:r w:rsidR="00C45267" w:rsidRPr="00C45267">
        <w:rPr>
          <w:rFonts w:ascii="Arial" w:hAnsi="Arial" w:cs="Arial"/>
          <w:sz w:val="20"/>
          <w:szCs w:val="20"/>
        </w:rPr>
        <w:t xml:space="preserve"> to the business and production activities of the Co</w:t>
      </w:r>
      <w:r w:rsidR="00927D9E">
        <w:rPr>
          <w:rFonts w:ascii="Arial" w:hAnsi="Arial" w:cs="Arial"/>
          <w:sz w:val="20"/>
          <w:szCs w:val="20"/>
        </w:rPr>
        <w:t>rporation and the companies dominated by the Corporation; o</w:t>
      </w:r>
      <w:r w:rsidR="00C45267" w:rsidRPr="00C45267">
        <w:rPr>
          <w:rFonts w:ascii="Arial" w:hAnsi="Arial" w:cs="Arial"/>
          <w:sz w:val="20"/>
          <w:szCs w:val="20"/>
        </w:rPr>
        <w:t>ther cases are decided b</w:t>
      </w:r>
      <w:r w:rsidR="00927D9E">
        <w:rPr>
          <w:rFonts w:ascii="Arial" w:hAnsi="Arial" w:cs="Arial"/>
          <w:sz w:val="20"/>
          <w:szCs w:val="20"/>
        </w:rPr>
        <w:t>y the Board of Directors</w:t>
      </w:r>
    </w:p>
    <w:p w:rsidR="00056C14" w:rsidRDefault="00927D9E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45267" w:rsidRPr="00C45267">
        <w:rPr>
          <w:rFonts w:ascii="Arial" w:hAnsi="Arial" w:cs="Arial"/>
          <w:sz w:val="20"/>
          <w:szCs w:val="20"/>
        </w:rPr>
        <w:t>ESOP distribution criteria: The Board of Directors makes decisions based on job titles and other criteria dec</w:t>
      </w:r>
      <w:r w:rsidR="00056C14">
        <w:rPr>
          <w:rFonts w:ascii="Arial" w:hAnsi="Arial" w:cs="Arial"/>
          <w:sz w:val="20"/>
          <w:szCs w:val="20"/>
        </w:rPr>
        <w:t>ided by the Board of Directors</w:t>
      </w:r>
    </w:p>
    <w:p w:rsidR="00E0124C" w:rsidRDefault="00056C14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r w:rsidR="00C45267" w:rsidRPr="00C45267">
        <w:rPr>
          <w:rFonts w:ascii="Arial" w:hAnsi="Arial" w:cs="Arial"/>
          <w:sz w:val="20"/>
          <w:szCs w:val="20"/>
        </w:rPr>
        <w:t xml:space="preserve">Principles for determining </w:t>
      </w:r>
      <w:r>
        <w:rPr>
          <w:rFonts w:ascii="Arial" w:hAnsi="Arial" w:cs="Arial"/>
          <w:sz w:val="20"/>
          <w:szCs w:val="20"/>
        </w:rPr>
        <w:t xml:space="preserve">the </w:t>
      </w:r>
      <w:r w:rsidR="00C45267" w:rsidRPr="00C45267">
        <w:rPr>
          <w:rFonts w:ascii="Arial" w:hAnsi="Arial" w:cs="Arial"/>
          <w:sz w:val="20"/>
          <w:szCs w:val="20"/>
        </w:rPr>
        <w:t>issuance price</w:t>
      </w:r>
      <w:r>
        <w:rPr>
          <w:rFonts w:ascii="Arial" w:hAnsi="Arial" w:cs="Arial"/>
          <w:sz w:val="20"/>
          <w:szCs w:val="20"/>
        </w:rPr>
        <w:t>: The Board of Directors decides</w:t>
      </w:r>
      <w:r w:rsidR="00C45267" w:rsidRPr="00C45267">
        <w:rPr>
          <w:rFonts w:ascii="Arial" w:hAnsi="Arial" w:cs="Arial"/>
          <w:sz w:val="20"/>
          <w:szCs w:val="20"/>
        </w:rPr>
        <w:t xml:space="preserve">, but not lower than the </w:t>
      </w:r>
      <w:r w:rsidR="00E0124C">
        <w:rPr>
          <w:rFonts w:ascii="Arial" w:hAnsi="Arial" w:cs="Arial"/>
          <w:sz w:val="20"/>
          <w:szCs w:val="20"/>
        </w:rPr>
        <w:t>par value of VND 10,000</w:t>
      </w:r>
    </w:p>
    <w:p w:rsidR="00E0124C" w:rsidRDefault="00C45267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267">
        <w:rPr>
          <w:rFonts w:ascii="Arial" w:hAnsi="Arial" w:cs="Arial"/>
          <w:sz w:val="20"/>
          <w:szCs w:val="20"/>
        </w:rPr>
        <w:t>k. Transfer restriction: Within 02 y</w:t>
      </w:r>
      <w:r w:rsidR="00E0124C">
        <w:rPr>
          <w:rFonts w:ascii="Arial" w:hAnsi="Arial" w:cs="Arial"/>
          <w:sz w:val="20"/>
          <w:szCs w:val="20"/>
        </w:rPr>
        <w:t>ears from the end of the issue</w:t>
      </w:r>
    </w:p>
    <w:p w:rsidR="008D0C06" w:rsidRDefault="00E0124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45267" w:rsidRPr="00C45267">
        <w:rPr>
          <w:rFonts w:ascii="Arial" w:hAnsi="Arial" w:cs="Arial"/>
          <w:sz w:val="20"/>
          <w:szCs w:val="20"/>
        </w:rPr>
        <w:t>Implementation time:</w:t>
      </w:r>
      <w:r>
        <w:rPr>
          <w:rFonts w:ascii="Arial" w:hAnsi="Arial" w:cs="Arial"/>
          <w:sz w:val="20"/>
          <w:szCs w:val="20"/>
        </w:rPr>
        <w:t xml:space="preserve"> in </w:t>
      </w:r>
      <w:r w:rsidR="00C45267" w:rsidRPr="00C45267">
        <w:rPr>
          <w:rFonts w:ascii="Arial" w:hAnsi="Arial" w:cs="Arial"/>
          <w:sz w:val="20"/>
          <w:szCs w:val="20"/>
        </w:rPr>
        <w:t xml:space="preserve">2020 (after completing the issuance of </w:t>
      </w:r>
      <w:r w:rsidR="008D0C06">
        <w:rPr>
          <w:rFonts w:ascii="Arial" w:hAnsi="Arial" w:cs="Arial"/>
          <w:sz w:val="20"/>
          <w:szCs w:val="20"/>
        </w:rPr>
        <w:t>shares</w:t>
      </w:r>
      <w:r w:rsidR="00C45267" w:rsidRPr="00C45267">
        <w:rPr>
          <w:rFonts w:ascii="Arial" w:hAnsi="Arial" w:cs="Arial"/>
          <w:sz w:val="20"/>
          <w:szCs w:val="20"/>
        </w:rPr>
        <w:t xml:space="preserve"> </w:t>
      </w:r>
      <w:r w:rsidR="008D0C06">
        <w:rPr>
          <w:rFonts w:ascii="Arial" w:hAnsi="Arial" w:cs="Arial"/>
          <w:sz w:val="20"/>
          <w:szCs w:val="20"/>
        </w:rPr>
        <w:t>for dividend payment)</w:t>
      </w:r>
    </w:p>
    <w:p w:rsidR="00C45267" w:rsidRDefault="00C45267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267">
        <w:rPr>
          <w:rFonts w:ascii="Arial" w:hAnsi="Arial" w:cs="Arial"/>
          <w:sz w:val="20"/>
          <w:szCs w:val="20"/>
        </w:rPr>
        <w:t>m.</w:t>
      </w:r>
      <w:r w:rsidR="008D0C06">
        <w:rPr>
          <w:rFonts w:ascii="Arial" w:hAnsi="Arial" w:cs="Arial"/>
          <w:sz w:val="20"/>
          <w:szCs w:val="20"/>
        </w:rPr>
        <w:t xml:space="preserve"> Handling of fractional</w:t>
      </w:r>
      <w:r w:rsidRPr="00C45267">
        <w:rPr>
          <w:rFonts w:ascii="Arial" w:hAnsi="Arial" w:cs="Arial"/>
          <w:sz w:val="20"/>
          <w:szCs w:val="20"/>
        </w:rPr>
        <w:t xml:space="preserve"> shares, </w:t>
      </w:r>
      <w:r w:rsidR="00F35620">
        <w:rPr>
          <w:rFonts w:ascii="Arial" w:hAnsi="Arial" w:cs="Arial"/>
          <w:sz w:val="20"/>
          <w:szCs w:val="20"/>
        </w:rPr>
        <w:t xml:space="preserve">unsold </w:t>
      </w:r>
      <w:r w:rsidRPr="00C45267">
        <w:rPr>
          <w:rFonts w:ascii="Arial" w:hAnsi="Arial" w:cs="Arial"/>
          <w:sz w:val="20"/>
          <w:szCs w:val="20"/>
        </w:rPr>
        <w:t xml:space="preserve">ESOP shares: </w:t>
      </w:r>
      <w:r w:rsidR="00F60115">
        <w:rPr>
          <w:rFonts w:ascii="Arial" w:hAnsi="Arial" w:cs="Arial"/>
          <w:sz w:val="20"/>
          <w:szCs w:val="20"/>
        </w:rPr>
        <w:t>to be cancelled and not allowed to transfer the purchase right to other persons</w:t>
      </w:r>
    </w:p>
    <w:p w:rsidR="00F60115" w:rsidRDefault="00F60115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Approve the acceptance of contracts, transactions with </w:t>
      </w:r>
      <w:proofErr w:type="spellStart"/>
      <w:r w:rsidRPr="00F60115">
        <w:rPr>
          <w:rFonts w:ascii="Arial" w:hAnsi="Arial" w:cs="Arial"/>
          <w:sz w:val="20"/>
          <w:szCs w:val="20"/>
        </w:rPr>
        <w:t>Viettel</w:t>
      </w:r>
      <w:proofErr w:type="spellEnd"/>
      <w:r w:rsidRPr="00F60115">
        <w:rPr>
          <w:rFonts w:ascii="Arial" w:hAnsi="Arial" w:cs="Arial"/>
          <w:sz w:val="20"/>
          <w:szCs w:val="20"/>
        </w:rPr>
        <w:t xml:space="preserve"> Construction Joint Stock Company</w:t>
      </w:r>
    </w:p>
    <w:p w:rsidR="00F60115" w:rsidRDefault="00F60115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Approve the supplements to the business line, amendments to Charter of </w:t>
      </w:r>
      <w:proofErr w:type="spellStart"/>
      <w:r w:rsidRPr="00F60115">
        <w:rPr>
          <w:rFonts w:ascii="Arial" w:hAnsi="Arial" w:cs="Arial"/>
          <w:sz w:val="20"/>
          <w:szCs w:val="20"/>
        </w:rPr>
        <w:t>Viettel</w:t>
      </w:r>
      <w:proofErr w:type="spellEnd"/>
      <w:r w:rsidRPr="00F60115">
        <w:rPr>
          <w:rFonts w:ascii="Arial" w:hAnsi="Arial" w:cs="Arial"/>
          <w:sz w:val="20"/>
          <w:szCs w:val="20"/>
        </w:rPr>
        <w:t xml:space="preserve"> Construction Joint Stock Company</w:t>
      </w:r>
    </w:p>
    <w:p w:rsidR="009459F3" w:rsidRDefault="009459F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</w:t>
      </w:r>
      <w:r w:rsidRPr="009459F3">
        <w:rPr>
          <w:rFonts w:ascii="Arial" w:hAnsi="Arial" w:cs="Arial"/>
          <w:sz w:val="20"/>
          <w:szCs w:val="20"/>
        </w:rPr>
        <w:t xml:space="preserve"> Appointing the following </w:t>
      </w:r>
      <w:r>
        <w:rPr>
          <w:rFonts w:ascii="Arial" w:hAnsi="Arial" w:cs="Arial"/>
          <w:sz w:val="20"/>
          <w:szCs w:val="20"/>
        </w:rPr>
        <w:t>persons</w:t>
      </w:r>
      <w:r w:rsidRPr="009459F3">
        <w:rPr>
          <w:rFonts w:ascii="Arial" w:hAnsi="Arial" w:cs="Arial"/>
          <w:sz w:val="20"/>
          <w:szCs w:val="20"/>
        </w:rPr>
        <w:t xml:space="preserve"> to the Board of Directors of </w:t>
      </w:r>
      <w:proofErr w:type="spellStart"/>
      <w:r w:rsidRPr="009459F3">
        <w:rPr>
          <w:rFonts w:ascii="Arial" w:hAnsi="Arial" w:cs="Arial"/>
          <w:sz w:val="20"/>
          <w:szCs w:val="20"/>
        </w:rPr>
        <w:t>Viettel</w:t>
      </w:r>
      <w:proofErr w:type="spellEnd"/>
      <w:r w:rsidRPr="009459F3">
        <w:rPr>
          <w:rFonts w:ascii="Arial" w:hAnsi="Arial" w:cs="Arial"/>
          <w:sz w:val="20"/>
          <w:szCs w:val="20"/>
        </w:rPr>
        <w:t xml:space="preserve"> Construction Joint Stock Company for the term of 2020-2025: </w:t>
      </w:r>
    </w:p>
    <w:p w:rsidR="009459F3" w:rsidRDefault="009459F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9459F3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Pr="009459F3">
        <w:rPr>
          <w:rFonts w:ascii="Arial" w:hAnsi="Arial" w:cs="Arial"/>
          <w:sz w:val="20"/>
          <w:szCs w:val="20"/>
        </w:rPr>
        <w:t>Dinh</w:t>
      </w:r>
      <w:proofErr w:type="spellEnd"/>
      <w:r w:rsidRPr="009459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9F3">
        <w:rPr>
          <w:rFonts w:ascii="Arial" w:hAnsi="Arial" w:cs="Arial"/>
          <w:sz w:val="20"/>
          <w:szCs w:val="20"/>
        </w:rPr>
        <w:t>Chien</w:t>
      </w:r>
      <w:proofErr w:type="spellEnd"/>
      <w:r w:rsidRPr="009459F3">
        <w:rPr>
          <w:rFonts w:ascii="Arial" w:hAnsi="Arial" w:cs="Arial"/>
          <w:sz w:val="20"/>
          <w:szCs w:val="20"/>
        </w:rPr>
        <w:t xml:space="preserve"> </w:t>
      </w:r>
    </w:p>
    <w:p w:rsidR="009459F3" w:rsidRDefault="009459F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59F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r. Pham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Truong</w:t>
      </w:r>
    </w:p>
    <w:p w:rsidR="00BE7C1C" w:rsidRDefault="009459F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459F3">
        <w:rPr>
          <w:rFonts w:ascii="Arial" w:hAnsi="Arial" w:cs="Arial"/>
          <w:sz w:val="20"/>
          <w:szCs w:val="20"/>
        </w:rPr>
        <w:t xml:space="preserve"> Mr. Nguyen Tat Truong  </w:t>
      </w:r>
    </w:p>
    <w:p w:rsidR="00BE7C1C" w:rsidRDefault="00BE7C1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Ms. Nghiem Phuong </w:t>
      </w:r>
      <w:proofErr w:type="spellStart"/>
      <w:r>
        <w:rPr>
          <w:rFonts w:ascii="Arial" w:hAnsi="Arial" w:cs="Arial"/>
          <w:sz w:val="20"/>
          <w:szCs w:val="20"/>
        </w:rPr>
        <w:t>Nhi</w:t>
      </w:r>
      <w:proofErr w:type="spellEnd"/>
    </w:p>
    <w:p w:rsidR="00BE7C1C" w:rsidRDefault="00BE7C1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59F3" w:rsidRPr="009459F3">
        <w:rPr>
          <w:rFonts w:ascii="Arial" w:hAnsi="Arial" w:cs="Arial"/>
          <w:sz w:val="20"/>
          <w:szCs w:val="20"/>
        </w:rPr>
        <w:t xml:space="preserve"> Mr. Bui The Hung  </w:t>
      </w:r>
    </w:p>
    <w:p w:rsidR="00BE7C1C" w:rsidRDefault="009459F3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59F3">
        <w:rPr>
          <w:rFonts w:ascii="Arial" w:hAnsi="Arial" w:cs="Arial"/>
          <w:sz w:val="20"/>
          <w:szCs w:val="20"/>
        </w:rPr>
        <w:t>Article 12</w:t>
      </w:r>
      <w:r w:rsidR="00BE7C1C">
        <w:rPr>
          <w:rFonts w:ascii="Arial" w:hAnsi="Arial" w:cs="Arial"/>
          <w:sz w:val="20"/>
          <w:szCs w:val="20"/>
        </w:rPr>
        <w:t>:</w:t>
      </w:r>
      <w:r w:rsidRPr="009459F3">
        <w:rPr>
          <w:rFonts w:ascii="Arial" w:hAnsi="Arial" w:cs="Arial"/>
          <w:sz w:val="20"/>
          <w:szCs w:val="20"/>
        </w:rPr>
        <w:t xml:space="preserve"> Appointing the following </w:t>
      </w:r>
      <w:r w:rsidR="00BE7C1C">
        <w:rPr>
          <w:rFonts w:ascii="Arial" w:hAnsi="Arial" w:cs="Arial"/>
          <w:sz w:val="20"/>
          <w:szCs w:val="20"/>
        </w:rPr>
        <w:t xml:space="preserve">candidates </w:t>
      </w:r>
      <w:r w:rsidRPr="009459F3">
        <w:rPr>
          <w:rFonts w:ascii="Arial" w:hAnsi="Arial" w:cs="Arial"/>
          <w:sz w:val="20"/>
          <w:szCs w:val="20"/>
        </w:rPr>
        <w:t xml:space="preserve">to the </w:t>
      </w:r>
      <w:r w:rsidR="00BE7C1C">
        <w:rPr>
          <w:rFonts w:ascii="Arial" w:hAnsi="Arial" w:cs="Arial"/>
          <w:sz w:val="20"/>
          <w:szCs w:val="20"/>
        </w:rPr>
        <w:t>Supervisory Board</w:t>
      </w:r>
      <w:r w:rsidRPr="009459F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459F3">
        <w:rPr>
          <w:rFonts w:ascii="Arial" w:hAnsi="Arial" w:cs="Arial"/>
          <w:sz w:val="20"/>
          <w:szCs w:val="20"/>
        </w:rPr>
        <w:t>Viettel</w:t>
      </w:r>
      <w:proofErr w:type="spellEnd"/>
      <w:r w:rsidRPr="009459F3">
        <w:rPr>
          <w:rFonts w:ascii="Arial" w:hAnsi="Arial" w:cs="Arial"/>
          <w:sz w:val="20"/>
          <w:szCs w:val="20"/>
        </w:rPr>
        <w:t xml:space="preserve"> Construction </w:t>
      </w:r>
      <w:r w:rsidR="00BE7C1C">
        <w:rPr>
          <w:rFonts w:ascii="Arial" w:hAnsi="Arial" w:cs="Arial"/>
          <w:sz w:val="20"/>
          <w:szCs w:val="20"/>
        </w:rPr>
        <w:t xml:space="preserve">Joint Stock Company </w:t>
      </w:r>
      <w:r w:rsidRPr="009459F3">
        <w:rPr>
          <w:rFonts w:ascii="Arial" w:hAnsi="Arial" w:cs="Arial"/>
          <w:sz w:val="20"/>
          <w:szCs w:val="20"/>
        </w:rPr>
        <w:t xml:space="preserve">for the term of 2020-2025: </w:t>
      </w:r>
    </w:p>
    <w:p w:rsidR="00BE7C1C" w:rsidRDefault="00BE7C1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Mr. Ngo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Tue</w:t>
      </w:r>
    </w:p>
    <w:p w:rsidR="00BE7C1C" w:rsidRDefault="00BE7C1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59F3" w:rsidRPr="009459F3">
        <w:rPr>
          <w:rFonts w:ascii="Arial" w:hAnsi="Arial" w:cs="Arial"/>
          <w:sz w:val="20"/>
          <w:szCs w:val="20"/>
        </w:rPr>
        <w:t xml:space="preserve"> Mr. Pham Hong </w:t>
      </w:r>
      <w:proofErr w:type="spellStart"/>
      <w:r w:rsidR="009459F3" w:rsidRPr="009459F3">
        <w:rPr>
          <w:rFonts w:ascii="Arial" w:hAnsi="Arial" w:cs="Arial"/>
          <w:sz w:val="20"/>
          <w:szCs w:val="20"/>
        </w:rPr>
        <w:t>Quan</w:t>
      </w:r>
      <w:proofErr w:type="spellEnd"/>
      <w:r w:rsidR="009459F3" w:rsidRPr="009459F3">
        <w:rPr>
          <w:rFonts w:ascii="Arial" w:hAnsi="Arial" w:cs="Arial"/>
          <w:sz w:val="20"/>
          <w:szCs w:val="20"/>
        </w:rPr>
        <w:t xml:space="preserve">  </w:t>
      </w:r>
    </w:p>
    <w:p w:rsidR="00BE7C1C" w:rsidRDefault="00BE7C1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459F3" w:rsidRPr="009459F3">
        <w:rPr>
          <w:rFonts w:ascii="Arial" w:hAnsi="Arial" w:cs="Arial"/>
          <w:sz w:val="20"/>
          <w:szCs w:val="20"/>
        </w:rPr>
        <w:t xml:space="preserve">Ms. Mai Thi Anh </w:t>
      </w:r>
    </w:p>
    <w:p w:rsidR="00F60115" w:rsidRDefault="00BE7C1C" w:rsidP="008069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13:</w:t>
      </w:r>
      <w:r w:rsidR="009459F3" w:rsidRPr="009459F3">
        <w:rPr>
          <w:rFonts w:ascii="Arial" w:hAnsi="Arial" w:cs="Arial"/>
          <w:sz w:val="20"/>
          <w:szCs w:val="20"/>
        </w:rPr>
        <w:t xml:space="preserve"> Implementing provisions: This </w:t>
      </w:r>
      <w:r>
        <w:rPr>
          <w:rFonts w:ascii="Arial" w:hAnsi="Arial" w:cs="Arial"/>
          <w:sz w:val="20"/>
          <w:szCs w:val="20"/>
        </w:rPr>
        <w:t>annual General Mandate</w:t>
      </w:r>
      <w:r w:rsidR="009459F3" w:rsidRPr="009459F3">
        <w:rPr>
          <w:rFonts w:ascii="Arial" w:hAnsi="Arial" w:cs="Arial"/>
          <w:sz w:val="20"/>
          <w:szCs w:val="20"/>
        </w:rPr>
        <w:t xml:space="preserve"> take</w:t>
      </w:r>
      <w:r>
        <w:rPr>
          <w:rFonts w:ascii="Arial" w:hAnsi="Arial" w:cs="Arial"/>
          <w:sz w:val="20"/>
          <w:szCs w:val="20"/>
        </w:rPr>
        <w:t xml:space="preserve">s effect from the signing date. </w:t>
      </w:r>
      <w:r w:rsidR="009459F3" w:rsidRPr="009459F3">
        <w:rPr>
          <w:rFonts w:ascii="Arial" w:hAnsi="Arial" w:cs="Arial"/>
          <w:sz w:val="20"/>
          <w:szCs w:val="20"/>
        </w:rPr>
        <w:t xml:space="preserve">The Board of Directors and the </w:t>
      </w:r>
      <w:r>
        <w:rPr>
          <w:rFonts w:ascii="Arial" w:hAnsi="Arial" w:cs="Arial"/>
          <w:sz w:val="20"/>
          <w:szCs w:val="20"/>
        </w:rPr>
        <w:t>Supervisory Board</w:t>
      </w:r>
      <w:r w:rsidR="009459F3" w:rsidRPr="009459F3">
        <w:rPr>
          <w:rFonts w:ascii="Arial" w:hAnsi="Arial" w:cs="Arial"/>
          <w:sz w:val="20"/>
          <w:szCs w:val="20"/>
        </w:rPr>
        <w:t xml:space="preserve"> of the Corporation are responsible for </w:t>
      </w:r>
      <w:r w:rsidR="00756F8B">
        <w:rPr>
          <w:rFonts w:ascii="Arial" w:hAnsi="Arial" w:cs="Arial"/>
          <w:sz w:val="20"/>
          <w:szCs w:val="20"/>
        </w:rPr>
        <w:t>carrying out it</w:t>
      </w:r>
    </w:p>
    <w:sectPr w:rsidR="00F60115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56C14"/>
    <w:rsid w:val="000603A9"/>
    <w:rsid w:val="00064D7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3532"/>
    <w:rsid w:val="000B6969"/>
    <w:rsid w:val="000B6CC7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34AC"/>
    <w:rsid w:val="001B7910"/>
    <w:rsid w:val="001C6831"/>
    <w:rsid w:val="001C7CD2"/>
    <w:rsid w:val="001D5E4A"/>
    <w:rsid w:val="001E4B88"/>
    <w:rsid w:val="001E707C"/>
    <w:rsid w:val="001F0E1D"/>
    <w:rsid w:val="001F34A1"/>
    <w:rsid w:val="001F42E4"/>
    <w:rsid w:val="001F6744"/>
    <w:rsid w:val="001F74DC"/>
    <w:rsid w:val="001F7F19"/>
    <w:rsid w:val="0020011C"/>
    <w:rsid w:val="00202525"/>
    <w:rsid w:val="00203027"/>
    <w:rsid w:val="00203661"/>
    <w:rsid w:val="0020555E"/>
    <w:rsid w:val="002076B3"/>
    <w:rsid w:val="00207AF4"/>
    <w:rsid w:val="00213694"/>
    <w:rsid w:val="0021553D"/>
    <w:rsid w:val="002164D2"/>
    <w:rsid w:val="00220448"/>
    <w:rsid w:val="00226493"/>
    <w:rsid w:val="00230BF1"/>
    <w:rsid w:val="002319EE"/>
    <w:rsid w:val="002357C4"/>
    <w:rsid w:val="00237A94"/>
    <w:rsid w:val="002403FE"/>
    <w:rsid w:val="002464F8"/>
    <w:rsid w:val="0025148F"/>
    <w:rsid w:val="00252CE0"/>
    <w:rsid w:val="00254EA2"/>
    <w:rsid w:val="00257C82"/>
    <w:rsid w:val="0026535B"/>
    <w:rsid w:val="002701FB"/>
    <w:rsid w:val="0028284F"/>
    <w:rsid w:val="00286879"/>
    <w:rsid w:val="0029161A"/>
    <w:rsid w:val="00296BF9"/>
    <w:rsid w:val="002A3D5D"/>
    <w:rsid w:val="002A5A98"/>
    <w:rsid w:val="002A5AA4"/>
    <w:rsid w:val="002B42CC"/>
    <w:rsid w:val="002C36A5"/>
    <w:rsid w:val="002D1AC3"/>
    <w:rsid w:val="002D481A"/>
    <w:rsid w:val="002D4939"/>
    <w:rsid w:val="002D53EE"/>
    <w:rsid w:val="002D61ED"/>
    <w:rsid w:val="002E10C4"/>
    <w:rsid w:val="002E30E1"/>
    <w:rsid w:val="002E43D7"/>
    <w:rsid w:val="002E76E5"/>
    <w:rsid w:val="002E7FD0"/>
    <w:rsid w:val="002F68A9"/>
    <w:rsid w:val="00300D6D"/>
    <w:rsid w:val="00303167"/>
    <w:rsid w:val="00303F4F"/>
    <w:rsid w:val="00304722"/>
    <w:rsid w:val="0030503E"/>
    <w:rsid w:val="0031274D"/>
    <w:rsid w:val="00316F05"/>
    <w:rsid w:val="00320096"/>
    <w:rsid w:val="00320E98"/>
    <w:rsid w:val="0032185B"/>
    <w:rsid w:val="00321DAC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807"/>
    <w:rsid w:val="00435CE3"/>
    <w:rsid w:val="00442646"/>
    <w:rsid w:val="00442F77"/>
    <w:rsid w:val="00452DE9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13E6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304F"/>
    <w:rsid w:val="00546616"/>
    <w:rsid w:val="0055067A"/>
    <w:rsid w:val="00551A83"/>
    <w:rsid w:val="005610CB"/>
    <w:rsid w:val="00565B08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219D"/>
    <w:rsid w:val="005B40E5"/>
    <w:rsid w:val="005C1B26"/>
    <w:rsid w:val="005C57E0"/>
    <w:rsid w:val="005C71E6"/>
    <w:rsid w:val="005D05F1"/>
    <w:rsid w:val="005D7F9C"/>
    <w:rsid w:val="005E7B32"/>
    <w:rsid w:val="005F34BF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F03"/>
    <w:rsid w:val="006B36E8"/>
    <w:rsid w:val="006D01D8"/>
    <w:rsid w:val="006D1385"/>
    <w:rsid w:val="006D683C"/>
    <w:rsid w:val="006E15A6"/>
    <w:rsid w:val="006E23FD"/>
    <w:rsid w:val="006E5E99"/>
    <w:rsid w:val="007023FD"/>
    <w:rsid w:val="00703286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6F8B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4378"/>
    <w:rsid w:val="007E003D"/>
    <w:rsid w:val="007E0993"/>
    <w:rsid w:val="007E0A58"/>
    <w:rsid w:val="007E0B9A"/>
    <w:rsid w:val="007E655C"/>
    <w:rsid w:val="007F298E"/>
    <w:rsid w:val="007F3E9A"/>
    <w:rsid w:val="007F617B"/>
    <w:rsid w:val="007F7BBC"/>
    <w:rsid w:val="0080000E"/>
    <w:rsid w:val="00802B62"/>
    <w:rsid w:val="008041F5"/>
    <w:rsid w:val="00806949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12E6"/>
    <w:rsid w:val="00893177"/>
    <w:rsid w:val="008958EC"/>
    <w:rsid w:val="008A2225"/>
    <w:rsid w:val="008A7D89"/>
    <w:rsid w:val="008B0A69"/>
    <w:rsid w:val="008B3B03"/>
    <w:rsid w:val="008C0872"/>
    <w:rsid w:val="008C33A0"/>
    <w:rsid w:val="008C46CA"/>
    <w:rsid w:val="008C7A42"/>
    <w:rsid w:val="008D0C06"/>
    <w:rsid w:val="008D12EB"/>
    <w:rsid w:val="008F1C6C"/>
    <w:rsid w:val="00903307"/>
    <w:rsid w:val="00904A89"/>
    <w:rsid w:val="00911890"/>
    <w:rsid w:val="00912FBD"/>
    <w:rsid w:val="009232CB"/>
    <w:rsid w:val="00923467"/>
    <w:rsid w:val="009235C2"/>
    <w:rsid w:val="00926469"/>
    <w:rsid w:val="00927D9E"/>
    <w:rsid w:val="00934FC0"/>
    <w:rsid w:val="00937D79"/>
    <w:rsid w:val="009410B8"/>
    <w:rsid w:val="009459F3"/>
    <w:rsid w:val="009464B8"/>
    <w:rsid w:val="009523FB"/>
    <w:rsid w:val="0095560E"/>
    <w:rsid w:val="009624DC"/>
    <w:rsid w:val="00962777"/>
    <w:rsid w:val="00964DEC"/>
    <w:rsid w:val="00970B6C"/>
    <w:rsid w:val="00970D80"/>
    <w:rsid w:val="009764D4"/>
    <w:rsid w:val="00980267"/>
    <w:rsid w:val="00980FCE"/>
    <w:rsid w:val="00981275"/>
    <w:rsid w:val="00981536"/>
    <w:rsid w:val="00981554"/>
    <w:rsid w:val="0099040A"/>
    <w:rsid w:val="009A6F47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28FC"/>
    <w:rsid w:val="00A23E8D"/>
    <w:rsid w:val="00A34999"/>
    <w:rsid w:val="00A4710B"/>
    <w:rsid w:val="00A47614"/>
    <w:rsid w:val="00A60356"/>
    <w:rsid w:val="00A61FAF"/>
    <w:rsid w:val="00A63B6C"/>
    <w:rsid w:val="00A734D4"/>
    <w:rsid w:val="00A754EB"/>
    <w:rsid w:val="00A87ED0"/>
    <w:rsid w:val="00A92963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3BD4"/>
    <w:rsid w:val="00AF67BE"/>
    <w:rsid w:val="00B042B1"/>
    <w:rsid w:val="00B04704"/>
    <w:rsid w:val="00B06970"/>
    <w:rsid w:val="00B10B5A"/>
    <w:rsid w:val="00B142AC"/>
    <w:rsid w:val="00B21CC3"/>
    <w:rsid w:val="00B345DE"/>
    <w:rsid w:val="00B350DA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7C1C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45267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D73F7"/>
    <w:rsid w:val="00CE0D00"/>
    <w:rsid w:val="00CE15CC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0B5E"/>
    <w:rsid w:val="00D415AC"/>
    <w:rsid w:val="00D42678"/>
    <w:rsid w:val="00D47CCA"/>
    <w:rsid w:val="00D50B42"/>
    <w:rsid w:val="00D50BB9"/>
    <w:rsid w:val="00D52C26"/>
    <w:rsid w:val="00D53360"/>
    <w:rsid w:val="00D55D74"/>
    <w:rsid w:val="00D570D1"/>
    <w:rsid w:val="00D61254"/>
    <w:rsid w:val="00D651E1"/>
    <w:rsid w:val="00D66A3D"/>
    <w:rsid w:val="00D74339"/>
    <w:rsid w:val="00D749F4"/>
    <w:rsid w:val="00D7560C"/>
    <w:rsid w:val="00D77F89"/>
    <w:rsid w:val="00D8075D"/>
    <w:rsid w:val="00D80CC2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0124C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4B03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E41C5"/>
    <w:rsid w:val="00EF091F"/>
    <w:rsid w:val="00EF47D6"/>
    <w:rsid w:val="00EF4B61"/>
    <w:rsid w:val="00F00D19"/>
    <w:rsid w:val="00F11789"/>
    <w:rsid w:val="00F15DB6"/>
    <w:rsid w:val="00F272CE"/>
    <w:rsid w:val="00F320D6"/>
    <w:rsid w:val="00F33967"/>
    <w:rsid w:val="00F35620"/>
    <w:rsid w:val="00F35A26"/>
    <w:rsid w:val="00F360CB"/>
    <w:rsid w:val="00F46D76"/>
    <w:rsid w:val="00F509DE"/>
    <w:rsid w:val="00F514ED"/>
    <w:rsid w:val="00F60115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177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329</cp:revision>
  <dcterms:created xsi:type="dcterms:W3CDTF">2019-10-16T10:03:00Z</dcterms:created>
  <dcterms:modified xsi:type="dcterms:W3CDTF">2020-06-11T02:28:00Z</dcterms:modified>
</cp:coreProperties>
</file>